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宋体" w:hAnsi="宋体" w:cs="Tahoma"/>
          <w:bCs/>
          <w:color w:val="000000"/>
          <w:sz w:val="28"/>
          <w:szCs w:val="28"/>
        </w:rPr>
      </w:pPr>
      <w:r>
        <w:rPr>
          <w:rFonts w:hint="eastAsia" w:ascii="宋体" w:hAnsi="宋体" w:cs="Tahoma"/>
          <w:b/>
          <w:bCs/>
          <w:color w:val="000000"/>
          <w:sz w:val="28"/>
          <w:szCs w:val="28"/>
        </w:rPr>
        <w:t>20</w:t>
      </w:r>
      <w:r>
        <w:rPr>
          <w:rFonts w:ascii="宋体" w:hAnsi="宋体" w:cs="Tahoma"/>
          <w:b/>
          <w:bCs/>
          <w:color w:val="000000"/>
          <w:sz w:val="28"/>
          <w:szCs w:val="28"/>
        </w:rPr>
        <w:t>2</w:t>
      </w:r>
      <w:r>
        <w:rPr>
          <w:rFonts w:hint="eastAsia" w:ascii="宋体" w:hAnsi="宋体" w:cs="Tahoma"/>
          <w:b/>
          <w:bCs/>
          <w:color w:val="000000"/>
          <w:sz w:val="28"/>
          <w:szCs w:val="28"/>
          <w:lang w:val="en-US" w:eastAsia="zh-CN"/>
        </w:rPr>
        <w:t>3</w:t>
      </w:r>
      <w:r>
        <w:rPr>
          <w:rFonts w:hint="eastAsia" w:ascii="宋体" w:hAnsi="宋体" w:cs="Tahoma"/>
          <w:b/>
          <w:bCs/>
          <w:color w:val="000000"/>
          <w:sz w:val="28"/>
          <w:szCs w:val="28"/>
        </w:rPr>
        <w:t>-202</w:t>
      </w:r>
      <w:r>
        <w:rPr>
          <w:rFonts w:hint="eastAsia" w:ascii="宋体" w:hAnsi="宋体" w:cs="Tahoma"/>
          <w:b/>
          <w:bCs/>
          <w:color w:val="000000"/>
          <w:sz w:val="28"/>
          <w:szCs w:val="28"/>
          <w:lang w:val="en-US" w:eastAsia="zh-CN"/>
        </w:rPr>
        <w:t>4</w:t>
      </w:r>
      <w:r>
        <w:rPr>
          <w:rFonts w:hint="eastAsia" w:ascii="宋体" w:hAnsi="宋体" w:cs="Tahoma"/>
          <w:b/>
          <w:bCs/>
          <w:color w:val="000000"/>
          <w:sz w:val="28"/>
          <w:szCs w:val="28"/>
        </w:rPr>
        <w:t>学年</w:t>
      </w:r>
      <w:r>
        <w:rPr>
          <w:rFonts w:hint="eastAsia" w:ascii="宋体" w:hAnsi="宋体" w:cs="Tahoma"/>
          <w:b/>
          <w:bCs/>
          <w:color w:val="000000"/>
          <w:sz w:val="28"/>
          <w:szCs w:val="28"/>
          <w:lang w:val="en-US" w:eastAsia="zh-CN"/>
        </w:rPr>
        <w:t>秋</w:t>
      </w:r>
      <w:r>
        <w:rPr>
          <w:rFonts w:hint="eastAsia" w:ascii="宋体" w:hAnsi="宋体" w:cs="Tahoma"/>
          <w:b/>
          <w:bCs/>
          <w:color w:val="000000"/>
          <w:sz w:val="28"/>
          <w:szCs w:val="28"/>
        </w:rPr>
        <w:t>学期</w:t>
      </w:r>
      <w:r>
        <w:rPr>
          <w:rFonts w:hint="eastAsia" w:ascii="宋体" w:hAnsi="宋体" w:cs="Tahoma"/>
          <w:b/>
          <w:bCs/>
          <w:color w:val="000000"/>
          <w:sz w:val="28"/>
          <w:szCs w:val="28"/>
          <w:lang w:val="en-US" w:eastAsia="zh-CN"/>
        </w:rPr>
        <w:t xml:space="preserve"> </w:t>
      </w:r>
      <w:r>
        <w:rPr>
          <w:rFonts w:hint="eastAsia" w:ascii="宋体" w:hAnsi="宋体" w:cs="Tahoma"/>
          <w:b/>
          <w:bCs/>
          <w:color w:val="000000"/>
          <w:sz w:val="28"/>
          <w:szCs w:val="28"/>
        </w:rPr>
        <w:t>统计学</w:t>
      </w:r>
      <w:r>
        <w:rPr>
          <w:rFonts w:hint="eastAsia" w:ascii="宋体" w:hAnsi="宋体" w:cs="Tahoma"/>
          <w:b/>
          <w:bCs/>
          <w:color w:val="000000"/>
          <w:sz w:val="28"/>
          <w:szCs w:val="28"/>
          <w:lang w:val="en-US" w:eastAsia="zh-CN"/>
        </w:rPr>
        <w:t xml:space="preserve"> </w:t>
      </w:r>
      <w:r>
        <w:rPr>
          <w:rFonts w:hint="eastAsia" w:ascii="宋体" w:hAnsi="宋体" w:cs="Tahoma"/>
          <w:b/>
          <w:bCs/>
          <w:color w:val="000000"/>
          <w:sz w:val="28"/>
          <w:szCs w:val="28"/>
        </w:rPr>
        <w:t>辅修课程选课指南</w:t>
      </w:r>
    </w:p>
    <w:p>
      <w:pPr>
        <w:spacing w:before="423" w:beforeLines="100"/>
        <w:rPr>
          <w:rFonts w:cs="宋体"/>
          <w:b/>
        </w:rPr>
      </w:pPr>
      <w:r>
        <w:rPr>
          <w:rFonts w:hint="eastAsia" w:cs="宋体"/>
          <w:b/>
        </w:rPr>
        <w:t>教学安排及选课工作细则</w:t>
      </w:r>
    </w:p>
    <w:p>
      <w:pPr>
        <w:pStyle w:val="10"/>
        <w:numPr>
          <w:ilvl w:val="0"/>
          <w:numId w:val="1"/>
        </w:numPr>
        <w:spacing w:before="211" w:beforeLines="50"/>
        <w:ind w:firstLineChars="0"/>
        <w:rPr>
          <w:rFonts w:cs="宋体"/>
          <w:b/>
        </w:rPr>
      </w:pPr>
      <w:r>
        <w:rPr>
          <w:rFonts w:hint="eastAsia" w:cs="宋体"/>
          <w:b/>
        </w:rPr>
        <w:t>面向对象：</w:t>
      </w:r>
    </w:p>
    <w:p>
      <w:pPr>
        <w:pStyle w:val="10"/>
        <w:spacing w:line="300" w:lineRule="auto"/>
        <w:ind w:firstLine="477" w:firstLineChars="199"/>
        <w:rPr>
          <w:rFonts w:cs="宋体"/>
          <w:b/>
          <w:sz w:val="24"/>
          <w:szCs w:val="24"/>
        </w:rPr>
      </w:pPr>
      <w:r>
        <w:rPr>
          <w:rFonts w:hint="eastAsia" w:ascii="宋体" w:hAnsi="宋体" w:cs="宋体"/>
          <w:bCs/>
          <w:color w:val="000000"/>
          <w:kern w:val="0"/>
          <w:sz w:val="24"/>
          <w:szCs w:val="24"/>
        </w:rPr>
        <w:t>我校20</w:t>
      </w:r>
      <w:r>
        <w:rPr>
          <w:rFonts w:hint="eastAsia" w:ascii="宋体" w:hAnsi="宋体" w:cs="宋体"/>
          <w:bCs/>
          <w:color w:val="000000"/>
          <w:kern w:val="0"/>
          <w:sz w:val="24"/>
          <w:szCs w:val="24"/>
          <w:lang w:val="en-US" w:eastAsia="zh-CN"/>
        </w:rPr>
        <w:t>20</w:t>
      </w:r>
      <w:r>
        <w:rPr>
          <w:rFonts w:hint="eastAsia" w:ascii="宋体" w:hAnsi="宋体" w:cs="宋体"/>
          <w:bCs/>
          <w:color w:val="000000"/>
          <w:kern w:val="0"/>
          <w:sz w:val="24"/>
          <w:szCs w:val="24"/>
        </w:rPr>
        <w:t>级、2</w:t>
      </w:r>
      <w:r>
        <w:rPr>
          <w:rFonts w:ascii="宋体" w:hAnsi="宋体" w:cs="宋体"/>
          <w:bCs/>
          <w:color w:val="000000"/>
          <w:kern w:val="0"/>
          <w:sz w:val="24"/>
          <w:szCs w:val="24"/>
        </w:rPr>
        <w:t>02</w:t>
      </w:r>
      <w:r>
        <w:rPr>
          <w:rFonts w:hint="eastAsia" w:ascii="宋体" w:hAnsi="宋体" w:cs="宋体"/>
          <w:bCs/>
          <w:color w:val="000000"/>
          <w:kern w:val="0"/>
          <w:sz w:val="24"/>
          <w:szCs w:val="24"/>
          <w:lang w:val="en-US" w:eastAsia="zh-CN"/>
        </w:rPr>
        <w:t>1</w:t>
      </w:r>
      <w:r>
        <w:rPr>
          <w:rFonts w:hint="eastAsia" w:ascii="宋体" w:hAnsi="宋体" w:cs="宋体"/>
          <w:bCs/>
          <w:color w:val="000000"/>
          <w:kern w:val="0"/>
          <w:sz w:val="24"/>
          <w:szCs w:val="24"/>
        </w:rPr>
        <w:t>级</w:t>
      </w:r>
      <w:r>
        <w:rPr>
          <w:rFonts w:hint="eastAsia" w:ascii="宋体" w:hAnsi="宋体" w:cs="宋体"/>
          <w:bCs/>
          <w:color w:val="000000"/>
          <w:kern w:val="0"/>
          <w:sz w:val="24"/>
          <w:szCs w:val="24"/>
          <w:lang w:eastAsia="zh-CN"/>
        </w:rPr>
        <w:t>、</w:t>
      </w:r>
      <w:r>
        <w:rPr>
          <w:rFonts w:hint="eastAsia" w:ascii="宋体" w:hAnsi="宋体" w:cs="宋体"/>
          <w:bCs/>
          <w:color w:val="000000"/>
          <w:kern w:val="0"/>
          <w:sz w:val="24"/>
          <w:szCs w:val="24"/>
          <w:lang w:val="en-US" w:eastAsia="zh-CN"/>
        </w:rPr>
        <w:t>2022级</w:t>
      </w:r>
      <w:r>
        <w:rPr>
          <w:rFonts w:hint="eastAsia" w:ascii="宋体" w:hAnsi="宋体" w:cs="宋体"/>
          <w:bCs/>
          <w:color w:val="000000"/>
          <w:kern w:val="0"/>
          <w:sz w:val="24"/>
          <w:szCs w:val="24"/>
        </w:rPr>
        <w:t>在籍在校普通本科学生（主修专业为统计学的除外）</w:t>
      </w:r>
      <w:r>
        <w:rPr>
          <w:rFonts w:hint="eastAsia" w:ascii="宋体" w:hAnsi="宋体" w:cs="宋体"/>
          <w:color w:val="000000"/>
          <w:kern w:val="0"/>
          <w:sz w:val="24"/>
          <w:szCs w:val="24"/>
        </w:rPr>
        <w:t>。</w:t>
      </w:r>
    </w:p>
    <w:p>
      <w:pPr>
        <w:pStyle w:val="10"/>
        <w:numPr>
          <w:ilvl w:val="0"/>
          <w:numId w:val="1"/>
        </w:numPr>
        <w:spacing w:before="211" w:beforeLines="50"/>
        <w:ind w:firstLineChars="0"/>
        <w:rPr>
          <w:rFonts w:cs="宋体"/>
          <w:b/>
          <w:sz w:val="24"/>
          <w:szCs w:val="24"/>
        </w:rPr>
      </w:pPr>
      <w:r>
        <w:rPr>
          <w:rFonts w:hint="eastAsia" w:cs="宋体"/>
          <w:b/>
          <w:sz w:val="24"/>
          <w:szCs w:val="24"/>
        </w:rPr>
        <w:t>开设专业：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623"/>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宋体"/>
                <w:color w:val="000000"/>
              </w:rPr>
            </w:pPr>
            <w:r>
              <w:rPr>
                <w:rFonts w:hint="eastAsia" w:ascii="宋体" w:hAnsi="宋体" w:cs="宋体"/>
                <w:color w:val="000000"/>
              </w:rPr>
              <w:t>开设学院</w:t>
            </w:r>
          </w:p>
        </w:tc>
        <w:tc>
          <w:tcPr>
            <w:tcW w:w="1623" w:type="dxa"/>
          </w:tcPr>
          <w:p>
            <w:pPr>
              <w:jc w:val="center"/>
              <w:rPr>
                <w:rFonts w:ascii="宋体"/>
                <w:color w:val="000000"/>
              </w:rPr>
            </w:pPr>
            <w:r>
              <w:rPr>
                <w:rFonts w:hint="eastAsia" w:ascii="宋体" w:hAnsi="宋体" w:cs="宋体"/>
                <w:color w:val="000000"/>
              </w:rPr>
              <w:t>辅修学位</w:t>
            </w:r>
          </w:p>
        </w:tc>
        <w:tc>
          <w:tcPr>
            <w:tcW w:w="1353" w:type="dxa"/>
          </w:tcPr>
          <w:p>
            <w:pPr>
              <w:jc w:val="center"/>
              <w:rPr>
                <w:rFonts w:ascii="宋体"/>
                <w:color w:val="000000"/>
              </w:rPr>
            </w:pPr>
            <w:r>
              <w:rPr>
                <w:rFonts w:hint="eastAsia" w:ascii="宋体" w:hAnsi="宋体" w:cs="宋体"/>
                <w:color w:val="000000"/>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宋体"/>
                <w:color w:val="000000"/>
              </w:rPr>
            </w:pPr>
            <w:r>
              <w:rPr>
                <w:rFonts w:hint="eastAsia" w:ascii="宋体" w:hAnsi="宋体" w:cs="宋体"/>
                <w:color w:val="000000"/>
              </w:rPr>
              <w:t>数学学院</w:t>
            </w:r>
          </w:p>
        </w:tc>
        <w:tc>
          <w:tcPr>
            <w:tcW w:w="1623" w:type="dxa"/>
          </w:tcPr>
          <w:p>
            <w:pPr>
              <w:jc w:val="center"/>
              <w:rPr>
                <w:rFonts w:ascii="宋体"/>
                <w:color w:val="000000"/>
              </w:rPr>
            </w:pPr>
            <w:r>
              <w:rPr>
                <w:rFonts w:hint="eastAsia" w:ascii="宋体" w:hAnsi="宋体" w:cs="宋体"/>
                <w:color w:val="000000"/>
              </w:rPr>
              <w:t>统计学</w:t>
            </w:r>
          </w:p>
        </w:tc>
        <w:tc>
          <w:tcPr>
            <w:tcW w:w="1353" w:type="dxa"/>
          </w:tcPr>
          <w:p>
            <w:pPr>
              <w:jc w:val="center"/>
              <w:rPr>
                <w:rFonts w:ascii="宋体"/>
                <w:color w:val="000000"/>
              </w:rPr>
            </w:pPr>
            <w:r>
              <w:rPr>
                <w:rFonts w:ascii="宋体" w:hAnsi="宋体" w:cs="宋体"/>
                <w:color w:val="000000"/>
              </w:rPr>
              <w:t>50</w:t>
            </w:r>
            <w:r>
              <w:rPr>
                <w:rFonts w:hint="eastAsia" w:ascii="宋体" w:hAnsi="宋体" w:cs="宋体"/>
                <w:color w:val="000000"/>
              </w:rPr>
              <w:t>分</w:t>
            </w:r>
          </w:p>
        </w:tc>
      </w:tr>
    </w:tbl>
    <w:p>
      <w:pPr>
        <w:pStyle w:val="10"/>
        <w:numPr>
          <w:ilvl w:val="0"/>
          <w:numId w:val="1"/>
        </w:numPr>
        <w:spacing w:before="211" w:beforeLines="50"/>
        <w:ind w:firstLineChars="0"/>
        <w:rPr>
          <w:rFonts w:cs="宋体"/>
          <w:b/>
          <w:sz w:val="24"/>
          <w:szCs w:val="24"/>
        </w:rPr>
      </w:pPr>
      <w:r>
        <w:rPr>
          <w:rFonts w:hint="eastAsia" w:cs="宋体"/>
          <w:b/>
          <w:sz w:val="24"/>
          <w:szCs w:val="24"/>
        </w:rPr>
        <w:t>学分绩点要求：</w:t>
      </w:r>
    </w:p>
    <w:p>
      <w:pPr>
        <w:spacing w:line="300" w:lineRule="auto"/>
        <w:ind w:firstLine="480" w:firstLineChars="200"/>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辅修专业/学位学分绩点要求：</w:t>
      </w:r>
    </w:p>
    <w:p>
      <w:pPr>
        <w:spacing w:line="300" w:lineRule="auto"/>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（1）参照东南大学学分制管理办法及本科生修读辅修专业/辅修学位管理办法（暂行），修满本辅修学位计划学分要求50学分，且平均学分绩点≥2.0者，可获得辅修学士学位。</w:t>
      </w:r>
    </w:p>
    <w:p>
      <w:pPr>
        <w:spacing w:line="300" w:lineRule="auto"/>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（2）对于2020级，若不满足统计学辅修学士学位授予条件，但已修统计学辅修学位计划课程（不含毕业论文）达到24学分，可申请统计学辅修专业证书。</w:t>
      </w:r>
    </w:p>
    <w:p>
      <w:pPr>
        <w:spacing w:line="300" w:lineRule="auto"/>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对于2021级、2022级，若不满足辅修学士学位授予条件，但已修统计学辅修学位计划课程（不含毕业论文）达到24学分，且所修计划课程中包含以下课程，可申请统计学辅修专业证书：B0731020随机过程、B0731031回归分析(双语)、B0731040抽样调查、B0731061多元统计分析、B0731051时间序列分析、B0731070统计计算(双语)。</w:t>
      </w:r>
    </w:p>
    <w:p>
      <w:pPr>
        <w:pStyle w:val="10"/>
        <w:spacing w:before="211" w:beforeLines="50"/>
        <w:ind w:firstLine="479" w:firstLineChars="199"/>
        <w:rPr>
          <w:rFonts w:cs="宋体"/>
          <w:b/>
          <w:sz w:val="24"/>
          <w:szCs w:val="24"/>
        </w:rPr>
      </w:pPr>
      <w:r>
        <w:rPr>
          <w:rFonts w:hint="eastAsia" w:cs="宋体"/>
          <w:b/>
          <w:sz w:val="24"/>
          <w:szCs w:val="24"/>
        </w:rPr>
        <w:t>4</w:t>
      </w:r>
      <w:r>
        <w:rPr>
          <w:rFonts w:cs="宋体"/>
          <w:b/>
          <w:sz w:val="24"/>
          <w:szCs w:val="24"/>
        </w:rPr>
        <w:t xml:space="preserve">. </w:t>
      </w:r>
      <w:r>
        <w:rPr>
          <w:rFonts w:hint="eastAsia" w:cs="宋体"/>
          <w:b/>
          <w:sz w:val="24"/>
          <w:szCs w:val="24"/>
        </w:rPr>
        <w:t>教学进程</w:t>
      </w:r>
      <w:r>
        <w:rPr>
          <w:rFonts w:cs="宋体"/>
          <w:b/>
          <w:sz w:val="24"/>
          <w:szCs w:val="24"/>
        </w:rPr>
        <w:t>:</w:t>
      </w:r>
    </w:p>
    <w:p>
      <w:pPr>
        <w:spacing w:line="300" w:lineRule="auto"/>
        <w:ind w:firstLine="480" w:firstLineChars="200"/>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辅修学位教学计划从二年级开始辅修学习。辅修学位计划安排为5个学期。</w:t>
      </w:r>
    </w:p>
    <w:p>
      <w:pPr>
        <w:spacing w:line="300" w:lineRule="auto"/>
        <w:ind w:firstLine="480" w:firstLineChars="200"/>
        <w:rPr>
          <w:rFonts w:hint="eastAsia" w:ascii="宋体" w:hAnsi="宋体" w:cs="宋体" w:eastAsiaTheme="minorEastAsia"/>
          <w:bCs/>
          <w:color w:val="000000"/>
          <w:kern w:val="0"/>
          <w:sz w:val="24"/>
          <w:szCs w:val="24"/>
          <w:lang w:val="en-US" w:eastAsia="zh-CN" w:bidi="ar-SA"/>
        </w:rPr>
      </w:pPr>
    </w:p>
    <w:p>
      <w:pPr>
        <w:pStyle w:val="10"/>
        <w:widowControl/>
        <w:ind w:firstLine="480"/>
        <w:jc w:val="left"/>
        <w:rPr>
          <w:rFonts w:ascii="宋体" w:hAnsi="宋体" w:cs="宋体"/>
          <w:bCs/>
          <w:color w:val="000000"/>
          <w:kern w:val="0"/>
          <w:sz w:val="24"/>
          <w:szCs w:val="24"/>
        </w:rPr>
      </w:pPr>
    </w:p>
    <w:p>
      <w:pPr>
        <w:rPr>
          <w:rFonts w:hint="eastAsia" w:ascii="宋体" w:hAnsi="宋体" w:cs="宋体"/>
          <w:bCs/>
          <w:color w:val="000000"/>
          <w:kern w:val="0"/>
          <w:sz w:val="24"/>
          <w:szCs w:val="24"/>
        </w:rPr>
      </w:pPr>
      <w:r>
        <w:rPr>
          <w:rFonts w:hint="eastAsia" w:ascii="宋体" w:hAnsi="宋体" w:cs="宋体"/>
          <w:bCs/>
          <w:color w:val="000000"/>
          <w:kern w:val="0"/>
          <w:sz w:val="24"/>
          <w:szCs w:val="24"/>
        </w:rPr>
        <w:br w:type="page"/>
      </w:r>
    </w:p>
    <w:p>
      <w:pPr>
        <w:pStyle w:val="11"/>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w:t>
      </w:r>
      <w:r>
        <w:rPr>
          <w:rFonts w:hint="eastAsia" w:ascii="宋体" w:hAnsi="宋体" w:cs="宋体"/>
          <w:b/>
          <w:bCs/>
          <w:color w:val="000000"/>
          <w:kern w:val="0"/>
          <w:sz w:val="28"/>
          <w:szCs w:val="28"/>
        </w:rPr>
        <w:t>2</w:t>
      </w:r>
      <w:r>
        <w:rPr>
          <w:rFonts w:ascii="宋体" w:hAnsi="宋体" w:cs="宋体"/>
          <w:b/>
          <w:bCs/>
          <w:color w:val="000000"/>
          <w:kern w:val="0"/>
          <w:sz w:val="28"/>
          <w:szCs w:val="28"/>
        </w:rPr>
        <w:t>02</w:t>
      </w:r>
      <w:r>
        <w:rPr>
          <w:rFonts w:hint="eastAsia" w:ascii="宋体" w:hAnsi="宋体" w:cs="宋体"/>
          <w:b/>
          <w:bCs/>
          <w:color w:val="000000"/>
          <w:kern w:val="0"/>
          <w:sz w:val="28"/>
          <w:szCs w:val="28"/>
          <w:lang w:val="en-US" w:eastAsia="zh-CN"/>
        </w:rPr>
        <w:t>2</w:t>
      </w:r>
      <w:r>
        <w:rPr>
          <w:rFonts w:hint="eastAsia" w:ascii="宋体" w:hAnsi="宋体" w:cs="宋体"/>
          <w:b/>
          <w:bCs/>
          <w:color w:val="000000"/>
          <w:kern w:val="0"/>
          <w:sz w:val="28"/>
          <w:szCs w:val="28"/>
        </w:rPr>
        <w:t>级</w:t>
      </w:r>
      <w:r>
        <w:rPr>
          <w:rFonts w:hint="eastAsia" w:cs="宋体"/>
          <w:b/>
          <w:sz w:val="28"/>
          <w:szCs w:val="28"/>
        </w:rPr>
        <w:t>教学安排</w:t>
      </w:r>
      <w:r>
        <w:rPr>
          <w:rFonts w:hint="eastAsia" w:ascii="宋体" w:hAnsi="宋体" w:cs="宋体"/>
          <w:bCs/>
          <w:color w:val="000000"/>
          <w:kern w:val="0"/>
          <w:sz w:val="24"/>
          <w:szCs w:val="24"/>
        </w:rPr>
        <w:t>】</w:t>
      </w:r>
    </w:p>
    <w:p>
      <w:pPr>
        <w:pStyle w:val="11"/>
        <w:widowControl/>
        <w:ind w:firstLine="0" w:firstLineChars="0"/>
        <w:jc w:val="left"/>
        <w:rPr>
          <w:rFonts w:hint="eastAsia" w:ascii="宋体" w:hAnsi="宋体" w:cs="宋体"/>
          <w:bCs/>
          <w:color w:val="000000"/>
          <w:kern w:val="0"/>
          <w:sz w:val="24"/>
          <w:szCs w:val="24"/>
        </w:rPr>
      </w:pPr>
      <w:r>
        <w:rPr>
          <w:rFonts w:ascii="宋体" w:hAnsi="宋体" w:cs="宋体"/>
          <w:bCs/>
          <w:color w:val="000000"/>
          <w:kern w:val="0"/>
          <w:sz w:val="24"/>
          <w:szCs w:val="24"/>
        </w:rPr>
        <w:t>202</w:t>
      </w:r>
      <w:r>
        <w:rPr>
          <w:rFonts w:hint="eastAsia" w:ascii="宋体" w:hAnsi="宋体" w:cs="宋体"/>
          <w:bCs/>
          <w:color w:val="000000"/>
          <w:kern w:val="0"/>
          <w:sz w:val="24"/>
          <w:szCs w:val="24"/>
          <w:lang w:val="en-US" w:eastAsia="zh-CN"/>
        </w:rPr>
        <w:t>3</w:t>
      </w:r>
      <w:r>
        <w:rPr>
          <w:rFonts w:ascii="宋体" w:hAnsi="宋体" w:cs="宋体"/>
          <w:bCs/>
          <w:color w:val="000000"/>
          <w:kern w:val="0"/>
          <w:sz w:val="24"/>
          <w:szCs w:val="24"/>
        </w:rPr>
        <w:t>-20</w:t>
      </w:r>
      <w:r>
        <w:rPr>
          <w:rFonts w:hint="eastAsia" w:ascii="宋体" w:hAnsi="宋体" w:cs="宋体"/>
          <w:bCs/>
          <w:color w:val="000000"/>
          <w:kern w:val="0"/>
          <w:sz w:val="24"/>
          <w:szCs w:val="24"/>
        </w:rPr>
        <w:t>2</w:t>
      </w:r>
      <w:r>
        <w:rPr>
          <w:rFonts w:hint="eastAsia" w:ascii="宋体" w:hAnsi="宋体" w:cs="宋体"/>
          <w:bCs/>
          <w:color w:val="000000"/>
          <w:kern w:val="0"/>
          <w:sz w:val="24"/>
          <w:szCs w:val="24"/>
          <w:lang w:val="en-US" w:eastAsia="zh-CN"/>
        </w:rPr>
        <w:t>4学年秋</w:t>
      </w:r>
      <w:r>
        <w:rPr>
          <w:rFonts w:hint="eastAsia" w:ascii="宋体" w:hAnsi="宋体" w:cs="宋体"/>
          <w:bCs/>
          <w:color w:val="000000"/>
          <w:kern w:val="0"/>
          <w:sz w:val="24"/>
          <w:szCs w:val="24"/>
        </w:rPr>
        <w:t>学期，面向20</w:t>
      </w:r>
      <w:r>
        <w:rPr>
          <w:rFonts w:ascii="宋体" w:hAnsi="宋体" w:cs="宋体"/>
          <w:bCs/>
          <w:color w:val="000000"/>
          <w:kern w:val="0"/>
          <w:sz w:val="24"/>
          <w:szCs w:val="24"/>
        </w:rPr>
        <w:t>2</w:t>
      </w:r>
      <w:r>
        <w:rPr>
          <w:rFonts w:hint="eastAsia" w:ascii="宋体" w:hAnsi="宋体" w:cs="宋体"/>
          <w:bCs/>
          <w:color w:val="000000"/>
          <w:kern w:val="0"/>
          <w:sz w:val="24"/>
          <w:szCs w:val="24"/>
          <w:lang w:val="en-US" w:eastAsia="zh-CN"/>
        </w:rPr>
        <w:t>2</w:t>
      </w:r>
      <w:r>
        <w:rPr>
          <w:rFonts w:hint="eastAsia" w:ascii="宋体" w:hAnsi="宋体" w:cs="宋体"/>
          <w:bCs/>
          <w:color w:val="000000"/>
          <w:kern w:val="0"/>
          <w:sz w:val="24"/>
          <w:szCs w:val="24"/>
        </w:rPr>
        <w:t>级，先修课程为 概率论 或 概率论与数理统计 或 概率统计与随机过程，按时上课，原则上不允许免听。</w:t>
      </w:r>
    </w:p>
    <w:p>
      <w:pPr>
        <w:pStyle w:val="11"/>
        <w:widowControl/>
        <w:ind w:firstLine="0" w:firstLineChars="0"/>
        <w:jc w:val="left"/>
        <w:rPr>
          <w:rFonts w:hint="eastAsia" w:ascii="宋体" w:hAnsi="宋体" w:cs="宋体"/>
          <w:bCs/>
          <w:color w:val="000000"/>
          <w:kern w:val="0"/>
          <w:sz w:val="24"/>
          <w:szCs w:val="24"/>
        </w:rPr>
      </w:pPr>
      <w:bookmarkStart w:id="0" w:name="_GoBack"/>
      <w:bookmarkEnd w:id="0"/>
    </w:p>
    <w:p>
      <w:pPr>
        <w:pStyle w:val="11"/>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w:t>
      </w:r>
      <w:r>
        <w:rPr>
          <w:rFonts w:hint="eastAsia" w:ascii="宋体" w:hAnsi="宋体" w:cs="宋体"/>
          <w:b/>
          <w:bCs/>
          <w:color w:val="000000"/>
          <w:kern w:val="0"/>
          <w:sz w:val="28"/>
          <w:szCs w:val="28"/>
        </w:rPr>
        <w:t>2</w:t>
      </w:r>
      <w:r>
        <w:rPr>
          <w:rFonts w:ascii="宋体" w:hAnsi="宋体" w:cs="宋体"/>
          <w:b/>
          <w:bCs/>
          <w:color w:val="000000"/>
          <w:kern w:val="0"/>
          <w:sz w:val="28"/>
          <w:szCs w:val="28"/>
        </w:rPr>
        <w:t>02</w:t>
      </w:r>
      <w:r>
        <w:rPr>
          <w:rFonts w:hint="eastAsia" w:ascii="宋体" w:hAnsi="宋体" w:cs="宋体"/>
          <w:b/>
          <w:bCs/>
          <w:color w:val="000000"/>
          <w:kern w:val="0"/>
          <w:sz w:val="28"/>
          <w:szCs w:val="28"/>
          <w:lang w:val="en-US" w:eastAsia="zh-CN"/>
        </w:rPr>
        <w:t>1</w:t>
      </w:r>
      <w:r>
        <w:rPr>
          <w:rFonts w:hint="eastAsia" w:ascii="宋体" w:hAnsi="宋体" w:cs="宋体"/>
          <w:b/>
          <w:bCs/>
          <w:color w:val="000000"/>
          <w:kern w:val="0"/>
          <w:sz w:val="28"/>
          <w:szCs w:val="28"/>
        </w:rPr>
        <w:t>级</w:t>
      </w:r>
      <w:r>
        <w:rPr>
          <w:rFonts w:hint="eastAsia" w:cs="宋体"/>
          <w:b/>
          <w:sz w:val="28"/>
          <w:szCs w:val="28"/>
        </w:rPr>
        <w:t>教学安排</w:t>
      </w:r>
      <w:r>
        <w:rPr>
          <w:rFonts w:hint="eastAsia" w:ascii="宋体" w:hAnsi="宋体" w:cs="宋体"/>
          <w:bCs/>
          <w:color w:val="000000"/>
          <w:kern w:val="0"/>
          <w:sz w:val="24"/>
          <w:szCs w:val="24"/>
        </w:rPr>
        <w:t>】</w:t>
      </w:r>
    </w:p>
    <w:p>
      <w:pPr>
        <w:pStyle w:val="11"/>
        <w:widowControl/>
        <w:ind w:firstLine="0" w:firstLineChars="0"/>
        <w:jc w:val="left"/>
        <w:rPr>
          <w:rFonts w:hint="eastAsia" w:ascii="宋体" w:hAnsi="宋体" w:cs="宋体"/>
          <w:bCs/>
          <w:color w:val="000000"/>
          <w:kern w:val="0"/>
          <w:sz w:val="24"/>
          <w:szCs w:val="24"/>
        </w:rPr>
      </w:pPr>
      <w:r>
        <w:rPr>
          <w:rFonts w:ascii="宋体" w:hAnsi="宋体" w:cs="宋体"/>
          <w:bCs/>
          <w:color w:val="000000"/>
          <w:kern w:val="0"/>
          <w:sz w:val="24"/>
          <w:szCs w:val="24"/>
        </w:rPr>
        <w:t>202</w:t>
      </w:r>
      <w:r>
        <w:rPr>
          <w:rFonts w:hint="eastAsia" w:ascii="宋体" w:hAnsi="宋体" w:cs="宋体"/>
          <w:bCs/>
          <w:color w:val="000000"/>
          <w:kern w:val="0"/>
          <w:sz w:val="24"/>
          <w:szCs w:val="24"/>
          <w:lang w:val="en-US" w:eastAsia="zh-CN"/>
        </w:rPr>
        <w:t>3</w:t>
      </w:r>
      <w:r>
        <w:rPr>
          <w:rFonts w:ascii="宋体" w:hAnsi="宋体" w:cs="宋体"/>
          <w:bCs/>
          <w:color w:val="000000"/>
          <w:kern w:val="0"/>
          <w:sz w:val="24"/>
          <w:szCs w:val="24"/>
        </w:rPr>
        <w:t>-20</w:t>
      </w:r>
      <w:r>
        <w:rPr>
          <w:rFonts w:hint="eastAsia" w:ascii="宋体" w:hAnsi="宋体" w:cs="宋体"/>
          <w:bCs/>
          <w:color w:val="000000"/>
          <w:kern w:val="0"/>
          <w:sz w:val="24"/>
          <w:szCs w:val="24"/>
        </w:rPr>
        <w:t>2</w:t>
      </w:r>
      <w:r>
        <w:rPr>
          <w:rFonts w:hint="eastAsia" w:ascii="宋体" w:hAnsi="宋体" w:cs="宋体"/>
          <w:bCs/>
          <w:color w:val="000000"/>
          <w:kern w:val="0"/>
          <w:sz w:val="24"/>
          <w:szCs w:val="24"/>
          <w:lang w:val="en-US" w:eastAsia="zh-CN"/>
        </w:rPr>
        <w:t>4学年秋</w:t>
      </w:r>
      <w:r>
        <w:rPr>
          <w:rFonts w:hint="eastAsia" w:ascii="宋体" w:hAnsi="宋体" w:cs="宋体"/>
          <w:bCs/>
          <w:color w:val="000000"/>
          <w:kern w:val="0"/>
          <w:sz w:val="24"/>
          <w:szCs w:val="24"/>
        </w:rPr>
        <w:t>学期，面向20</w:t>
      </w:r>
      <w:r>
        <w:rPr>
          <w:rFonts w:hint="eastAsia" w:ascii="宋体" w:hAnsi="宋体" w:cs="宋体"/>
          <w:bCs/>
          <w:color w:val="000000"/>
          <w:kern w:val="0"/>
          <w:sz w:val="24"/>
          <w:szCs w:val="24"/>
          <w:lang w:val="en-US" w:eastAsia="zh-CN"/>
        </w:rPr>
        <w:t>21</w:t>
      </w:r>
      <w:r>
        <w:rPr>
          <w:rFonts w:hint="eastAsia" w:ascii="宋体" w:hAnsi="宋体" w:cs="宋体"/>
          <w:bCs/>
          <w:color w:val="000000"/>
          <w:kern w:val="0"/>
          <w:sz w:val="24"/>
          <w:szCs w:val="24"/>
        </w:rPr>
        <w:t>级（已完成 概率论 或 概率论与数理统计 或 概率统计与随机过程 课程修读），开设课程如下（具体上课安排以最新课表为准）：</w:t>
      </w:r>
    </w:p>
    <w:p>
      <w:pPr>
        <w:pStyle w:val="10"/>
        <w:widowControl/>
        <w:ind w:firstLine="0" w:firstLineChars="0"/>
        <w:jc w:val="left"/>
        <w:rPr>
          <w:rFonts w:ascii="宋体" w:hAnsi="宋体" w:cs="宋体"/>
          <w:b/>
          <w:bCs/>
          <w:color w:val="000000"/>
          <w:kern w:val="0"/>
          <w:sz w:val="24"/>
          <w:szCs w:val="24"/>
        </w:rPr>
      </w:pP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3</w:t>
      </w:r>
      <w:r>
        <w:rPr>
          <w:rFonts w:ascii="宋体" w:hAnsi="宋体" w:cs="宋体"/>
          <w:b/>
          <w:bCs/>
          <w:color w:val="000000"/>
          <w:kern w:val="0"/>
          <w:sz w:val="24"/>
          <w:szCs w:val="24"/>
        </w:rPr>
        <w:t>-20</w:t>
      </w:r>
      <w:r>
        <w:rPr>
          <w:rFonts w:hint="eastAsia" w:ascii="宋体" w:hAnsi="宋体" w:cs="宋体"/>
          <w:b/>
          <w:bCs/>
          <w:color w:val="000000"/>
          <w:kern w:val="0"/>
          <w:sz w:val="24"/>
          <w:szCs w:val="24"/>
        </w:rPr>
        <w:t>2</w:t>
      </w:r>
      <w:r>
        <w:rPr>
          <w:rFonts w:hint="eastAsia" w:ascii="宋体" w:hAnsi="宋体" w:cs="宋体"/>
          <w:b/>
          <w:bCs/>
          <w:color w:val="000000"/>
          <w:kern w:val="0"/>
          <w:sz w:val="24"/>
          <w:szCs w:val="24"/>
          <w:lang w:val="en-US" w:eastAsia="zh-CN"/>
        </w:rPr>
        <w:t>4学年秋</w:t>
      </w:r>
      <w:r>
        <w:rPr>
          <w:rFonts w:hint="eastAsia" w:ascii="宋体" w:hAnsi="宋体" w:cs="宋体"/>
          <w:b/>
          <w:bCs/>
          <w:color w:val="000000"/>
          <w:kern w:val="0"/>
          <w:sz w:val="24"/>
          <w:szCs w:val="24"/>
        </w:rPr>
        <w:t>学期课程安排：</w:t>
      </w:r>
    </w:p>
    <w:tbl>
      <w:tblPr>
        <w:tblStyle w:val="5"/>
        <w:tblpPr w:leftFromText="180" w:rightFromText="180" w:vertAnchor="text" w:horzAnchor="page" w:tblpX="1674" w:tblpY="168"/>
        <w:tblOverlap w:val="never"/>
        <w:tblW w:w="90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0"/>
        <w:gridCol w:w="1635"/>
        <w:gridCol w:w="782"/>
        <w:gridCol w:w="1138"/>
        <w:gridCol w:w="40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宋体"/>
                <w:szCs w:val="21"/>
                <w:lang w:eastAsia="zh-CN"/>
              </w:rPr>
            </w:pPr>
            <w:r>
              <w:rPr>
                <w:rFonts w:hint="eastAsia" w:ascii="宋体" w:hAnsi="宋体"/>
                <w:b/>
                <w:szCs w:val="21"/>
                <w:lang w:val="en-US" w:eastAsia="zh-CN"/>
              </w:rPr>
              <w:t>课程代码</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辅修课程</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学分</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上课教师</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hAnsi="宋体" w:eastAsia="宋体" w:cs="Times New Roman"/>
                <w:kern w:val="0"/>
                <w:sz w:val="24"/>
                <w:szCs w:val="21"/>
                <w:lang w:val="en-US" w:eastAsia="zh-CN" w:bidi="ar-SA"/>
              </w:rPr>
            </w:pPr>
            <w:r>
              <w:rPr>
                <w:rFonts w:hint="eastAsia" w:ascii="宋体" w:hAnsi="宋体"/>
                <w:b/>
                <w:szCs w:val="21"/>
              </w:rPr>
              <w:t>上课</w:t>
            </w:r>
            <w:r>
              <w:rPr>
                <w:rFonts w:hint="eastAsia" w:ascii="宋体" w:hAnsi="宋体"/>
                <w:b/>
                <w:szCs w:val="21"/>
                <w:lang w:val="en-US" w:eastAsia="zh-CN"/>
              </w:rPr>
              <w:t>安排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B0731020</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Ansi="宋体"/>
                <w:color w:val="000000" w:themeColor="text1"/>
                <w:kern w:val="2"/>
                <w:sz w:val="18"/>
                <w:szCs w:val="18"/>
                <w14:textFill>
                  <w14:solidFill>
                    <w14:schemeClr w14:val="tx1"/>
                  </w14:solidFill>
                </w14:textFill>
              </w:rPr>
              <w:t>随机过程</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olor w:val="000000" w:themeColor="text1"/>
                <w:kern w:val="2"/>
                <w:sz w:val="18"/>
                <w:szCs w:val="18"/>
                <w14:textFill>
                  <w14:solidFill>
                    <w14:schemeClr w14:val="tx1"/>
                  </w14:solidFill>
                </w14:textFill>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吕思宇</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8-9节 教二-208,1-15周(单) 星期四 3-4节 教二-208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B0731031</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回归分析(双语)</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蔡凯达</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int="eastAsia" w:hAnsi="宋体" w:cs="Times New Roman"/>
                <w:color w:val="000000" w:themeColor="text1"/>
                <w:kern w:val="2"/>
                <w:sz w:val="18"/>
                <w:szCs w:val="18"/>
                <w:lang w:val="en-US" w:eastAsia="zh-CN" w:bidi="ar-SA"/>
                <w14:textFill>
                  <w14:solidFill>
                    <w14:schemeClr w14:val="tx1"/>
                  </w14:solidFill>
                </w14:textFill>
              </w:rPr>
              <w:t>1-16周 星期四 8-10节 教三-103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B0731040</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抽样调查</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吕思宇</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3-4节 教二-208,1-15周(单) 星期四 6-7节 教二-208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B072104</w:t>
            </w:r>
            <w:r>
              <w:rPr>
                <w:rFonts w:hint="eastAsia" w:hAnsi="宋体"/>
                <w:kern w:val="2"/>
                <w:sz w:val="18"/>
                <w:szCs w:val="18"/>
              </w:rPr>
              <w:t>1</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最优化方法</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关秀翠</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6-7节 教八-403,1-15周(单) 星期三 3-4节 教八-403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B0731061</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多元统计分析</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Times New Roman" w:hAnsi="宋体" w:eastAsia="宋体" w:cs="Times New Roman"/>
                <w:kern w:val="2"/>
                <w:sz w:val="18"/>
                <w:szCs w:val="18"/>
                <w:lang w:val="en-US" w:eastAsia="zh-CN" w:bidi="ar-SA"/>
              </w:rPr>
            </w:pPr>
            <w:r>
              <w:rPr>
                <w:rFonts w:hint="eastAsia"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赵昕</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星期二 3-5节 教一-507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B0732060</w:t>
            </w:r>
          </w:p>
        </w:tc>
        <w:tc>
          <w:tcPr>
            <w:tcW w:w="163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贝叶斯分析</w:t>
            </w:r>
          </w:p>
        </w:tc>
        <w:tc>
          <w:tcPr>
            <w:tcW w:w="782"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江其宝</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星期二 1-2节 教二-306,2-16周(双) 星期四 6-7节 教二-306</w:t>
            </w:r>
          </w:p>
        </w:tc>
      </w:tr>
    </w:tbl>
    <w:p>
      <w:pPr>
        <w:pStyle w:val="10"/>
        <w:widowControl/>
        <w:ind w:firstLine="0" w:firstLineChars="0"/>
        <w:jc w:val="left"/>
        <w:rPr>
          <w:rFonts w:ascii="宋体" w:hAnsi="宋体" w:cs="宋体"/>
          <w:bCs/>
          <w:color w:val="000000"/>
          <w:kern w:val="0"/>
          <w:sz w:val="24"/>
          <w:szCs w:val="24"/>
        </w:rPr>
      </w:pPr>
      <w:r>
        <w:rPr>
          <w:rFonts w:hint="eastAsia" w:ascii="宋体" w:hAnsi="宋体" w:cs="宋体"/>
          <w:b/>
          <w:bCs w:val="0"/>
          <w:color w:val="000000"/>
          <w:kern w:val="0"/>
          <w:sz w:val="24"/>
          <w:szCs w:val="24"/>
        </w:rPr>
        <w:t>上课与考核：</w:t>
      </w:r>
      <w:r>
        <w:rPr>
          <w:rFonts w:hint="eastAsia" w:ascii="宋体" w:hAnsi="宋体" w:cs="宋体"/>
          <w:bCs/>
          <w:color w:val="000000"/>
          <w:kern w:val="0"/>
          <w:sz w:val="24"/>
          <w:szCs w:val="24"/>
        </w:rPr>
        <w:t>按时上课，原则上不允许免听。</w:t>
      </w:r>
    </w:p>
    <w:p>
      <w:pPr>
        <w:pStyle w:val="11"/>
        <w:widowControl/>
        <w:ind w:firstLine="0" w:firstLineChars="0"/>
        <w:jc w:val="left"/>
        <w:rPr>
          <w:rFonts w:ascii="宋体" w:hAnsi="宋体" w:cs="宋体"/>
          <w:bCs/>
          <w:color w:val="000000"/>
          <w:kern w:val="0"/>
          <w:sz w:val="24"/>
          <w:szCs w:val="24"/>
        </w:rPr>
      </w:pPr>
    </w:p>
    <w:p>
      <w:pPr>
        <w:pStyle w:val="11"/>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w:t>
      </w:r>
      <w:r>
        <w:rPr>
          <w:rFonts w:hint="eastAsia" w:ascii="宋体" w:hAnsi="宋体" w:cs="宋体"/>
          <w:b/>
          <w:bCs/>
          <w:color w:val="000000"/>
          <w:kern w:val="0"/>
          <w:sz w:val="28"/>
          <w:szCs w:val="28"/>
        </w:rPr>
        <w:t>2</w:t>
      </w:r>
      <w:r>
        <w:rPr>
          <w:rFonts w:hint="eastAsia" w:ascii="宋体" w:hAnsi="宋体" w:cs="宋体"/>
          <w:b/>
          <w:bCs/>
          <w:color w:val="000000"/>
          <w:kern w:val="0"/>
          <w:sz w:val="28"/>
          <w:szCs w:val="28"/>
          <w:lang w:val="en-US" w:eastAsia="zh-CN"/>
        </w:rPr>
        <w:t>020</w:t>
      </w:r>
      <w:r>
        <w:rPr>
          <w:rFonts w:hint="eastAsia" w:ascii="宋体" w:hAnsi="宋体" w:cs="宋体"/>
          <w:b/>
          <w:bCs/>
          <w:color w:val="000000"/>
          <w:kern w:val="0"/>
          <w:sz w:val="28"/>
          <w:szCs w:val="28"/>
        </w:rPr>
        <w:t>级</w:t>
      </w:r>
      <w:r>
        <w:rPr>
          <w:rFonts w:hint="eastAsia" w:cs="宋体"/>
          <w:b/>
          <w:sz w:val="28"/>
          <w:szCs w:val="28"/>
        </w:rPr>
        <w:t>教学安排</w:t>
      </w:r>
      <w:r>
        <w:rPr>
          <w:rFonts w:hint="eastAsia" w:ascii="宋体" w:hAnsi="宋体" w:cs="宋体"/>
          <w:bCs/>
          <w:color w:val="000000"/>
          <w:kern w:val="0"/>
          <w:sz w:val="24"/>
          <w:szCs w:val="24"/>
        </w:rPr>
        <w:t>】</w:t>
      </w:r>
    </w:p>
    <w:p>
      <w:pPr>
        <w:pStyle w:val="11"/>
        <w:widowControl/>
        <w:ind w:firstLine="0" w:firstLineChars="0"/>
        <w:jc w:val="left"/>
        <w:rPr>
          <w:rFonts w:hint="eastAsia" w:ascii="宋体" w:hAnsi="宋体" w:cs="宋体"/>
          <w:bCs/>
          <w:color w:val="000000"/>
          <w:kern w:val="0"/>
          <w:sz w:val="24"/>
          <w:szCs w:val="24"/>
        </w:rPr>
      </w:pPr>
      <w:r>
        <w:rPr>
          <w:rFonts w:ascii="宋体" w:hAnsi="宋体" w:cs="宋体"/>
          <w:bCs/>
          <w:color w:val="000000"/>
          <w:kern w:val="0"/>
          <w:sz w:val="24"/>
          <w:szCs w:val="24"/>
        </w:rPr>
        <w:t>202</w:t>
      </w:r>
      <w:r>
        <w:rPr>
          <w:rFonts w:hint="eastAsia" w:ascii="宋体" w:hAnsi="宋体" w:cs="宋体"/>
          <w:bCs/>
          <w:color w:val="000000"/>
          <w:kern w:val="0"/>
          <w:sz w:val="24"/>
          <w:szCs w:val="24"/>
          <w:lang w:val="en-US" w:eastAsia="zh-CN"/>
        </w:rPr>
        <w:t>3</w:t>
      </w:r>
      <w:r>
        <w:rPr>
          <w:rFonts w:ascii="宋体" w:hAnsi="宋体" w:cs="宋体"/>
          <w:bCs/>
          <w:color w:val="000000"/>
          <w:kern w:val="0"/>
          <w:sz w:val="24"/>
          <w:szCs w:val="24"/>
        </w:rPr>
        <w:t>-20</w:t>
      </w:r>
      <w:r>
        <w:rPr>
          <w:rFonts w:hint="eastAsia" w:ascii="宋体" w:hAnsi="宋体" w:cs="宋体"/>
          <w:bCs/>
          <w:color w:val="000000"/>
          <w:kern w:val="0"/>
          <w:sz w:val="24"/>
          <w:szCs w:val="24"/>
          <w:lang w:val="en-US" w:eastAsia="zh-CN"/>
        </w:rPr>
        <w:t>24学年秋</w:t>
      </w:r>
      <w:r>
        <w:rPr>
          <w:rFonts w:hint="eastAsia" w:ascii="宋体" w:hAnsi="宋体" w:cs="宋体"/>
          <w:bCs/>
          <w:color w:val="000000"/>
          <w:kern w:val="0"/>
          <w:sz w:val="24"/>
          <w:szCs w:val="24"/>
        </w:rPr>
        <w:t>学期，面向</w:t>
      </w:r>
      <w:r>
        <w:rPr>
          <w:rFonts w:hint="eastAsia" w:ascii="宋体" w:hAnsi="宋体" w:cs="宋体"/>
          <w:bCs/>
          <w:color w:val="000000"/>
          <w:kern w:val="0"/>
          <w:sz w:val="24"/>
          <w:szCs w:val="24"/>
          <w:lang w:val="en-US" w:eastAsia="zh-CN"/>
        </w:rPr>
        <w:t>2020</w:t>
      </w:r>
      <w:r>
        <w:rPr>
          <w:rFonts w:hint="eastAsia" w:ascii="宋体" w:hAnsi="宋体" w:cs="宋体"/>
          <w:bCs/>
          <w:color w:val="000000"/>
          <w:kern w:val="0"/>
          <w:sz w:val="24"/>
          <w:szCs w:val="24"/>
        </w:rPr>
        <w:t>级（已完成 概率论 或 概率论与数理统计</w:t>
      </w:r>
      <w:r>
        <w:rPr>
          <w:rFonts w:hint="eastAsia" w:ascii="宋体" w:hAnsi="宋体" w:cs="宋体"/>
          <w:bCs/>
          <w:color w:val="000000"/>
          <w:kern w:val="0"/>
          <w:sz w:val="24"/>
          <w:szCs w:val="24"/>
          <w:lang w:val="en-US" w:eastAsia="zh-CN"/>
        </w:rPr>
        <w:t xml:space="preserve"> </w:t>
      </w:r>
      <w:r>
        <w:rPr>
          <w:rFonts w:hint="eastAsia" w:ascii="宋体" w:hAnsi="宋体" w:cs="宋体"/>
          <w:bCs/>
          <w:color w:val="000000"/>
          <w:kern w:val="0"/>
          <w:sz w:val="24"/>
          <w:szCs w:val="24"/>
        </w:rPr>
        <w:t>或 概率统计与随机过程 课程修读），开设课程如下（具体上课安排以最新课表为准）：</w:t>
      </w:r>
    </w:p>
    <w:p>
      <w:pPr>
        <w:pStyle w:val="10"/>
        <w:widowControl/>
        <w:ind w:firstLine="0" w:firstLineChars="0"/>
        <w:jc w:val="left"/>
        <w:rPr>
          <w:rFonts w:hint="eastAsia" w:ascii="宋体" w:hAnsi="宋体" w:cs="宋体"/>
          <w:b/>
          <w:bCs/>
          <w:color w:val="000000"/>
          <w:kern w:val="0"/>
          <w:sz w:val="24"/>
          <w:szCs w:val="24"/>
        </w:rPr>
      </w:pP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3</w:t>
      </w:r>
      <w:r>
        <w:rPr>
          <w:rFonts w:ascii="宋体" w:hAnsi="宋体" w:cs="宋体"/>
          <w:b/>
          <w:bCs/>
          <w:color w:val="000000"/>
          <w:kern w:val="0"/>
          <w:sz w:val="24"/>
          <w:szCs w:val="24"/>
        </w:rPr>
        <w:t>-20</w:t>
      </w:r>
      <w:r>
        <w:rPr>
          <w:rFonts w:hint="eastAsia" w:ascii="宋体" w:hAnsi="宋体" w:cs="宋体"/>
          <w:b/>
          <w:bCs/>
          <w:color w:val="000000"/>
          <w:kern w:val="0"/>
          <w:sz w:val="24"/>
          <w:szCs w:val="24"/>
        </w:rPr>
        <w:t>2</w:t>
      </w:r>
      <w:r>
        <w:rPr>
          <w:rFonts w:hint="eastAsia" w:ascii="宋体" w:hAnsi="宋体" w:cs="宋体"/>
          <w:b/>
          <w:bCs/>
          <w:color w:val="000000"/>
          <w:kern w:val="0"/>
          <w:sz w:val="24"/>
          <w:szCs w:val="24"/>
          <w:lang w:val="en-US" w:eastAsia="zh-CN"/>
        </w:rPr>
        <w:t>4学年秋</w:t>
      </w:r>
      <w:r>
        <w:rPr>
          <w:rFonts w:hint="eastAsia" w:ascii="宋体" w:hAnsi="宋体" w:cs="宋体"/>
          <w:b/>
          <w:bCs/>
          <w:color w:val="000000"/>
          <w:kern w:val="0"/>
          <w:sz w:val="24"/>
          <w:szCs w:val="24"/>
        </w:rPr>
        <w:t>学期课程安排：</w:t>
      </w:r>
    </w:p>
    <w:tbl>
      <w:tblPr>
        <w:tblStyle w:val="5"/>
        <w:tblpPr w:leftFromText="180" w:rightFromText="180" w:vertAnchor="text" w:horzAnchor="page" w:tblpX="1674" w:tblpY="168"/>
        <w:tblOverlap w:val="never"/>
        <w:tblW w:w="90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0"/>
        <w:gridCol w:w="1860"/>
        <w:gridCol w:w="557"/>
        <w:gridCol w:w="1138"/>
        <w:gridCol w:w="40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宋体"/>
                <w:szCs w:val="21"/>
                <w:lang w:eastAsia="zh-CN"/>
              </w:rPr>
            </w:pPr>
            <w:r>
              <w:rPr>
                <w:rFonts w:hint="eastAsia" w:ascii="宋体" w:hAnsi="宋体"/>
                <w:b/>
                <w:szCs w:val="21"/>
                <w:lang w:val="en-US" w:eastAsia="zh-CN"/>
              </w:rPr>
              <w:t>课程代码</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辅修课程</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学分</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Times New Roman"/>
                <w:kern w:val="0"/>
                <w:sz w:val="24"/>
                <w:szCs w:val="21"/>
                <w:lang w:val="en-US" w:eastAsia="zh-CN" w:bidi="ar-SA"/>
              </w:rPr>
            </w:pPr>
            <w:r>
              <w:rPr>
                <w:rFonts w:hint="eastAsia" w:ascii="宋体" w:hAnsi="宋体"/>
                <w:b/>
                <w:szCs w:val="21"/>
              </w:rPr>
              <w:t>上课教师</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hAnsi="宋体" w:eastAsia="宋体" w:cs="Times New Roman"/>
                <w:kern w:val="0"/>
                <w:sz w:val="24"/>
                <w:szCs w:val="21"/>
                <w:lang w:val="en-US" w:eastAsia="zh-CN" w:bidi="ar-SA"/>
              </w:rPr>
            </w:pPr>
            <w:r>
              <w:rPr>
                <w:rFonts w:hint="eastAsia" w:ascii="宋体" w:hAnsi="宋体"/>
                <w:b/>
                <w:szCs w:val="21"/>
              </w:rPr>
              <w:t>上课</w:t>
            </w:r>
            <w:r>
              <w:rPr>
                <w:rFonts w:hint="eastAsia" w:ascii="宋体" w:hAnsi="宋体"/>
                <w:b/>
                <w:szCs w:val="21"/>
                <w:lang w:val="en-US" w:eastAsia="zh-CN"/>
              </w:rPr>
              <w:t>安排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B0731020</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Ansi="宋体"/>
                <w:color w:val="000000" w:themeColor="text1"/>
                <w:kern w:val="2"/>
                <w:sz w:val="18"/>
                <w:szCs w:val="18"/>
                <w14:textFill>
                  <w14:solidFill>
                    <w14:schemeClr w14:val="tx1"/>
                  </w14:solidFill>
                </w14:textFill>
              </w:rPr>
              <w:t>随机过程</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olor w:val="000000" w:themeColor="text1"/>
                <w:kern w:val="2"/>
                <w:sz w:val="18"/>
                <w:szCs w:val="18"/>
                <w14:textFill>
                  <w14:solidFill>
                    <w14:schemeClr w14:val="tx1"/>
                  </w14:solidFill>
                </w14:textFill>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吕思宇</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Ansi="宋体"/>
                <w:kern w:val="2"/>
                <w:sz w:val="18"/>
                <w:szCs w:val="18"/>
                <w:lang w:val="en-US" w:eastAsia="zh-CN"/>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8-9节 教二-208,1-15周(单) 星期四 3-4节 教二-208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B0731031</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回归分析(双语)</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蔡凯达</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Ansi="宋体"/>
                <w:kern w:val="2"/>
                <w:sz w:val="18"/>
                <w:szCs w:val="18"/>
                <w:lang w:val="en-US" w:eastAsia="zh-CN"/>
              </w:rPr>
            </w:pPr>
            <w:r>
              <w:rPr>
                <w:rFonts w:hint="eastAsia" w:hAnsi="宋体" w:cs="Times New Roman"/>
                <w:color w:val="000000" w:themeColor="text1"/>
                <w:kern w:val="2"/>
                <w:sz w:val="18"/>
                <w:szCs w:val="18"/>
                <w:lang w:val="en-US" w:eastAsia="zh-CN" w:bidi="ar-SA"/>
                <w14:textFill>
                  <w14:solidFill>
                    <w14:schemeClr w14:val="tx1"/>
                  </w14:solidFill>
                </w14:textFill>
              </w:rPr>
              <w:t>1-16周 星期四 8-10节 教三-103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B0731040</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抽样调查</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吕思宇</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hAnsi="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3-4节 教二-208,1-15周(单) 星期四 6-7节 教二-208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B072104</w:t>
            </w:r>
            <w:r>
              <w:rPr>
                <w:rFonts w:hint="eastAsia" w:hAnsi="宋体"/>
                <w:kern w:val="2"/>
                <w:sz w:val="18"/>
                <w:szCs w:val="18"/>
              </w:rPr>
              <w:t>1</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最优化方法</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关秀翠</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hAnsi="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6-7节 教八-403,1-15周(单) 星期三 3-4节 教八-403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B0731061</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Ansi="宋体"/>
                <w:kern w:val="2"/>
                <w:sz w:val="18"/>
                <w:szCs w:val="18"/>
              </w:rPr>
              <w:t>多元统计分析</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Times New Roman" w:hAnsi="宋体" w:eastAsia="宋体" w:cs="Times New Roman"/>
                <w:kern w:val="2"/>
                <w:sz w:val="18"/>
                <w:szCs w:val="18"/>
                <w:lang w:val="en-US" w:eastAsia="zh-CN" w:bidi="ar-SA"/>
              </w:rPr>
            </w:pPr>
            <w:r>
              <w:rPr>
                <w:rFonts w:hint="eastAsia"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赵昕</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hAnsi="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星期二 3-5节 教一-507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B0732060</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贝叶斯分析</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Times New Roman" w:hAnsi="宋体" w:eastAsia="宋体" w:cs="Times New Roman"/>
                <w:kern w:val="2"/>
                <w:sz w:val="18"/>
                <w:szCs w:val="18"/>
                <w:lang w:val="en-US" w:eastAsia="zh-CN" w:bidi="ar-SA"/>
              </w:rPr>
            </w:pPr>
            <w:r>
              <w:rPr>
                <w:rFonts w:hint="eastAsia"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Times New Roman" w:hAnsi="宋体" w:eastAsia="宋体" w:cs="Times New Roman"/>
                <w:kern w:val="2"/>
                <w:sz w:val="18"/>
                <w:szCs w:val="18"/>
                <w:lang w:val="en-US" w:eastAsia="zh-CN" w:bidi="ar-SA"/>
              </w:rPr>
            </w:pPr>
            <w:r>
              <w:rPr>
                <w:rFonts w:hint="eastAsia" w:hAnsi="宋体" w:cs="Times New Roman"/>
                <w:kern w:val="2"/>
                <w:sz w:val="18"/>
                <w:szCs w:val="18"/>
                <w:lang w:val="en-US" w:eastAsia="zh-CN" w:bidi="ar-SA"/>
              </w:rPr>
              <w:t>江其宝</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hAnsi="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星期二 1-2节 教二-306,2-16周(双) 星期四 6-7节 教二-306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39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ascii="Times New Roman" w:hAnsi="宋体" w:eastAsia="宋体" w:cs="Times New Roman"/>
                <w:kern w:val="2"/>
                <w:sz w:val="18"/>
                <w:szCs w:val="18"/>
                <w:lang w:val="en-US" w:eastAsia="zh-CN" w:bidi="ar-SA"/>
              </w:rPr>
            </w:pPr>
            <w:r>
              <w:rPr>
                <w:rFonts w:hAnsi="宋体"/>
                <w:kern w:val="2"/>
                <w:sz w:val="18"/>
                <w:szCs w:val="18"/>
              </w:rPr>
              <w:t>B073303</w:t>
            </w:r>
            <w:r>
              <w:rPr>
                <w:rFonts w:hint="eastAsia" w:hAnsi="宋体"/>
                <w:kern w:val="2"/>
                <w:sz w:val="18"/>
                <w:szCs w:val="18"/>
              </w:rPr>
              <w:t>1</w:t>
            </w:r>
          </w:p>
        </w:tc>
        <w:tc>
          <w:tcPr>
            <w:tcW w:w="1860"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hint="eastAsia" w:ascii="Times New Roman" w:hAnsi="宋体" w:eastAsia="宋体" w:cs="Times New Roman"/>
                <w:kern w:val="2"/>
                <w:sz w:val="18"/>
                <w:szCs w:val="18"/>
                <w:lang w:val="en-US" w:eastAsia="zh-CN" w:bidi="ar-SA"/>
              </w:rPr>
            </w:pPr>
            <w:r>
              <w:rPr>
                <w:rFonts w:hAnsi="宋体"/>
                <w:kern w:val="2"/>
                <w:sz w:val="18"/>
                <w:szCs w:val="18"/>
              </w:rPr>
              <w:t>统计预测与决策</w:t>
            </w:r>
            <w:r>
              <w:rPr>
                <w:rFonts w:hint="eastAsia" w:hAnsi="宋体"/>
                <w:kern w:val="2"/>
                <w:sz w:val="18"/>
                <w:szCs w:val="18"/>
              </w:rPr>
              <w:t>(</w:t>
            </w:r>
            <w:r>
              <w:rPr>
                <w:rFonts w:hAnsi="宋体"/>
                <w:kern w:val="2"/>
                <w:sz w:val="18"/>
                <w:szCs w:val="18"/>
              </w:rPr>
              <w:t>研</w:t>
            </w:r>
            <w:r>
              <w:rPr>
                <w:rFonts w:hint="eastAsia" w:hAnsi="宋体"/>
                <w:kern w:val="2"/>
                <w:sz w:val="18"/>
                <w:szCs w:val="18"/>
              </w:rPr>
              <w:t>讨</w:t>
            </w:r>
            <w:r>
              <w:rPr>
                <w:rFonts w:hAnsi="宋体"/>
                <w:kern w:val="2"/>
                <w:sz w:val="18"/>
                <w:szCs w:val="18"/>
              </w:rPr>
              <w:t>)</w:t>
            </w:r>
          </w:p>
        </w:tc>
        <w:tc>
          <w:tcPr>
            <w:tcW w:w="557" w:type="dxa"/>
            <w:tcBorders>
              <w:top w:val="single" w:color="000000" w:sz="6" w:space="0"/>
              <w:left w:val="single" w:color="000000" w:sz="6" w:space="0"/>
              <w:bottom w:val="single" w:color="000000" w:sz="6" w:space="0"/>
              <w:right w:val="single" w:color="000000" w:sz="8" w:space="0"/>
            </w:tcBorders>
            <w:shd w:val="clear" w:color="auto" w:fill="FFFFFF"/>
            <w:vAlign w:val="center"/>
          </w:tcPr>
          <w:p>
            <w:pPr>
              <w:widowControl w:val="0"/>
              <w:spacing w:line="300" w:lineRule="exact"/>
              <w:jc w:val="center"/>
              <w:rPr>
                <w:rFonts w:hint="eastAsia" w:ascii="Times New Roman" w:hAnsi="宋体" w:eastAsia="宋体" w:cs="Times New Roman"/>
                <w:kern w:val="2"/>
                <w:sz w:val="18"/>
                <w:szCs w:val="18"/>
                <w:lang w:val="en-US" w:eastAsia="zh-CN" w:bidi="ar-SA"/>
              </w:rPr>
            </w:pPr>
            <w:r>
              <w:rPr>
                <w:rFonts w:hint="eastAsia" w:hAnsi="宋体"/>
                <w:kern w:val="2"/>
                <w:sz w:val="18"/>
                <w:szCs w:val="18"/>
              </w:rPr>
              <w:t>3</w:t>
            </w:r>
          </w:p>
        </w:tc>
        <w:tc>
          <w:tcPr>
            <w:tcW w:w="11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hAnsi="宋体" w:eastAsia="宋体"/>
                <w:kern w:val="2"/>
                <w:sz w:val="18"/>
                <w:szCs w:val="18"/>
                <w:lang w:val="en-US" w:eastAsia="zh-CN"/>
              </w:rPr>
            </w:pPr>
            <w:r>
              <w:rPr>
                <w:rFonts w:hint="eastAsia" w:hAnsi="宋体"/>
                <w:kern w:val="2"/>
                <w:sz w:val="18"/>
                <w:szCs w:val="18"/>
                <w:lang w:val="en-US" w:eastAsia="zh-CN"/>
              </w:rPr>
              <w:t>徐伟娟</w:t>
            </w:r>
          </w:p>
        </w:tc>
        <w:tc>
          <w:tcPr>
            <w:tcW w:w="40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val="0"/>
              <w:spacing w:line="300" w:lineRule="exact"/>
              <w:jc w:val="center"/>
              <w:rPr>
                <w:rFonts w:hint="eastAsia" w:hAnsi="宋体" w:cs="Times New Roman"/>
                <w:color w:val="000000" w:themeColor="text1"/>
                <w:kern w:val="2"/>
                <w:sz w:val="18"/>
                <w:szCs w:val="18"/>
                <w:lang w:val="en-US" w:eastAsia="zh-CN" w:bidi="ar-SA"/>
                <w14:textFill>
                  <w14:solidFill>
                    <w14:schemeClr w14:val="tx1"/>
                  </w14:solidFill>
                </w14:textFill>
              </w:rPr>
            </w:pPr>
            <w:r>
              <w:rPr>
                <w:rFonts w:hint="eastAsia" w:hAnsi="宋体" w:cs="Times New Roman"/>
                <w:color w:val="000000" w:themeColor="text1"/>
                <w:kern w:val="2"/>
                <w:sz w:val="18"/>
                <w:szCs w:val="18"/>
                <w:lang w:val="en-US" w:eastAsia="zh-CN" w:bidi="ar-SA"/>
                <w14:textFill>
                  <w14:solidFill>
                    <w14:schemeClr w14:val="tx1"/>
                  </w14:solidFill>
                </w14:textFill>
              </w:rPr>
              <w:t>1-16周 星期一 3-5节 教七-20D</w:t>
            </w:r>
          </w:p>
        </w:tc>
      </w:tr>
    </w:tbl>
    <w:p>
      <w:pPr>
        <w:pStyle w:val="11"/>
        <w:widowControl/>
        <w:ind w:firstLine="0" w:firstLineChars="0"/>
        <w:jc w:val="left"/>
        <w:rPr>
          <w:rFonts w:ascii="宋体" w:hAnsi="宋体" w:cs="宋体"/>
          <w:bCs/>
          <w:color w:val="000000"/>
          <w:kern w:val="0"/>
          <w:sz w:val="24"/>
          <w:szCs w:val="24"/>
        </w:rPr>
      </w:pPr>
    </w:p>
    <w:p>
      <w:pPr>
        <w:pStyle w:val="10"/>
        <w:widowControl/>
        <w:ind w:firstLine="0" w:firstLineChars="0"/>
        <w:jc w:val="left"/>
        <w:rPr>
          <w:rFonts w:ascii="宋体" w:hAnsi="宋体" w:cs="宋体"/>
          <w:bCs/>
          <w:color w:val="000000"/>
          <w:kern w:val="0"/>
          <w:sz w:val="24"/>
          <w:szCs w:val="24"/>
        </w:rPr>
      </w:pPr>
      <w:r>
        <w:rPr>
          <w:rFonts w:hint="eastAsia" w:ascii="宋体" w:hAnsi="宋体" w:cs="宋体"/>
          <w:b/>
          <w:bCs w:val="0"/>
          <w:color w:val="000000"/>
          <w:kern w:val="0"/>
          <w:sz w:val="24"/>
          <w:szCs w:val="24"/>
        </w:rPr>
        <w:t>上课与考核：</w:t>
      </w:r>
      <w:r>
        <w:rPr>
          <w:rFonts w:hint="eastAsia" w:ascii="宋体" w:hAnsi="宋体" w:cs="宋体"/>
          <w:bCs/>
          <w:color w:val="000000"/>
          <w:kern w:val="0"/>
          <w:sz w:val="24"/>
          <w:szCs w:val="24"/>
        </w:rPr>
        <w:t>按时上课，原则上不允许免听。</w:t>
      </w:r>
    </w:p>
    <w:p>
      <w:pPr>
        <w:pStyle w:val="10"/>
        <w:widowControl/>
        <w:ind w:firstLine="0" w:firstLineChars="0"/>
        <w:jc w:val="left"/>
        <w:rPr>
          <w:rFonts w:ascii="宋体" w:hAnsi="宋体" w:cs="宋体"/>
          <w:bCs/>
          <w:color w:val="000000"/>
          <w:kern w:val="0"/>
          <w:sz w:val="24"/>
          <w:szCs w:val="24"/>
        </w:rPr>
      </w:pPr>
    </w:p>
    <w:p>
      <w:pPr>
        <w:pStyle w:val="11"/>
        <w:widowControl/>
        <w:ind w:firstLine="0" w:firstLineChars="0"/>
        <w:jc w:val="left"/>
        <w:rPr>
          <w:rFonts w:ascii="宋体" w:hAnsi="宋体" w:cs="宋体"/>
          <w:bCs/>
          <w:color w:val="000000"/>
          <w:kern w:val="0"/>
          <w:sz w:val="24"/>
          <w:szCs w:val="24"/>
        </w:rPr>
      </w:pPr>
    </w:p>
    <w:p>
      <w:pPr>
        <w:rPr>
          <w:rFonts w:ascii="宋体" w:hAnsi="宋体" w:cs="宋体"/>
          <w:bCs/>
          <w:color w:val="000000"/>
          <w:kern w:val="0"/>
          <w:sz w:val="24"/>
          <w:szCs w:val="24"/>
        </w:rPr>
      </w:pPr>
      <w:r>
        <w:rPr>
          <w:rFonts w:ascii="宋体" w:hAnsi="宋体" w:cs="宋体"/>
          <w:bCs/>
          <w:color w:val="000000"/>
          <w:kern w:val="0"/>
          <w:sz w:val="24"/>
          <w:szCs w:val="24"/>
        </w:rPr>
        <w:br w:type="page"/>
      </w:r>
    </w:p>
    <w:p>
      <w:pPr>
        <w:pStyle w:val="11"/>
        <w:widowControl/>
        <w:ind w:firstLine="0" w:firstLineChars="0"/>
        <w:jc w:val="left"/>
        <w:rPr>
          <w:rFonts w:ascii="宋体" w:hAnsi="宋体" w:cs="宋体"/>
          <w:bCs/>
          <w:color w:val="000000"/>
          <w:kern w:val="0"/>
          <w:sz w:val="24"/>
          <w:szCs w:val="24"/>
        </w:rPr>
      </w:pPr>
    </w:p>
    <w:p>
      <w:pPr>
        <w:widowControl w:val="0"/>
        <w:spacing w:line="300" w:lineRule="exact"/>
        <w:ind w:firstLine="117" w:firstLineChars="49"/>
        <w:jc w:val="both"/>
        <w:rPr>
          <w:rFonts w:hint="eastAsia" w:ascii="宋体" w:hAnsi="宋体" w:cs="宋体"/>
          <w:bCs/>
          <w:color w:val="000000"/>
        </w:rPr>
      </w:pPr>
      <w:r>
        <w:rPr>
          <w:rFonts w:hint="eastAsia" w:ascii="宋体" w:hAnsi="宋体" w:cs="宋体"/>
          <w:bCs/>
          <w:color w:val="000000"/>
        </w:rPr>
        <w:t>附：</w:t>
      </w:r>
    </w:p>
    <w:p>
      <w:pPr>
        <w:widowControl w:val="0"/>
        <w:spacing w:line="300" w:lineRule="exact"/>
        <w:ind w:firstLine="103" w:firstLineChars="49"/>
        <w:jc w:val="center"/>
        <w:rPr>
          <w:rFonts w:ascii="宋体" w:hAnsi="宋体" w:cs="STSongStd-Light"/>
          <w:b/>
          <w:bCs/>
          <w:kern w:val="2"/>
          <w:sz w:val="21"/>
          <w:szCs w:val="21"/>
        </w:rPr>
      </w:pPr>
      <w:r>
        <w:rPr>
          <w:rFonts w:hint="eastAsia"/>
          <w:b/>
          <w:kern w:val="2"/>
          <w:sz w:val="21"/>
        </w:rPr>
        <w:t>统计学专业辅修学士学位培养方案</w:t>
      </w:r>
    </w:p>
    <w:p>
      <w:pPr>
        <w:widowControl w:val="0"/>
        <w:spacing w:line="300" w:lineRule="exact"/>
        <w:ind w:firstLine="103" w:firstLineChars="49"/>
        <w:jc w:val="both"/>
        <w:rPr>
          <w:rFonts w:ascii="宋体" w:hAnsi="宋体" w:cs="STSongStd-Light"/>
          <w:b/>
          <w:bCs/>
          <w:kern w:val="2"/>
          <w:sz w:val="21"/>
          <w:szCs w:val="21"/>
        </w:rPr>
      </w:pPr>
    </w:p>
    <w:p>
      <w:pPr>
        <w:widowControl w:val="0"/>
        <w:spacing w:line="300" w:lineRule="exact"/>
        <w:jc w:val="both"/>
        <w:rPr>
          <w:rFonts w:ascii="宋体" w:hAnsi="宋体" w:cs="STSongStd-Light"/>
          <w:b/>
          <w:bCs/>
          <w:kern w:val="2"/>
          <w:sz w:val="21"/>
          <w:szCs w:val="21"/>
        </w:rPr>
      </w:pPr>
      <w:r>
        <w:rPr>
          <w:rFonts w:hint="eastAsia" w:ascii="宋体" w:hAnsi="宋体" w:cs="STSongStd-Light"/>
          <w:b/>
          <w:bCs/>
          <w:kern w:val="2"/>
          <w:sz w:val="21"/>
          <w:szCs w:val="21"/>
        </w:rPr>
        <w:t xml:space="preserve"> 辅修学士学位教学计划课程学分与学时分配：</w:t>
      </w:r>
    </w:p>
    <w:p>
      <w:pPr>
        <w:widowControl w:val="0"/>
        <w:spacing w:line="300" w:lineRule="exact"/>
        <w:ind w:firstLine="2876" w:firstLineChars="1364"/>
        <w:jc w:val="both"/>
        <w:rPr>
          <w:rFonts w:hAnsi="宋体"/>
          <w:b/>
          <w:bCs/>
          <w:kern w:val="2"/>
          <w:sz w:val="21"/>
          <w:szCs w:val="28"/>
        </w:rPr>
      </w:pPr>
    </w:p>
    <w:p>
      <w:pPr>
        <w:widowControl w:val="0"/>
        <w:spacing w:line="300" w:lineRule="exact"/>
        <w:ind w:firstLine="2062" w:firstLineChars="978"/>
        <w:jc w:val="both"/>
        <w:rPr>
          <w:rFonts w:hAnsi="宋体"/>
          <w:b/>
          <w:bCs/>
          <w:kern w:val="2"/>
          <w:sz w:val="21"/>
          <w:szCs w:val="28"/>
        </w:rPr>
      </w:pPr>
      <w:r>
        <w:rPr>
          <w:rFonts w:hAnsi="宋体"/>
          <w:b/>
          <w:bCs/>
          <w:kern w:val="2"/>
          <w:sz w:val="21"/>
          <w:szCs w:val="28"/>
        </w:rPr>
        <w:t>辅修</w:t>
      </w:r>
      <w:r>
        <w:rPr>
          <w:rFonts w:hint="eastAsia" w:hAnsi="宋体"/>
          <w:b/>
          <w:bCs/>
          <w:kern w:val="2"/>
          <w:sz w:val="21"/>
          <w:szCs w:val="28"/>
        </w:rPr>
        <w:t>学士</w:t>
      </w:r>
      <w:r>
        <w:rPr>
          <w:rFonts w:hAnsi="宋体"/>
          <w:b/>
          <w:bCs/>
          <w:kern w:val="2"/>
          <w:sz w:val="21"/>
          <w:szCs w:val="28"/>
        </w:rPr>
        <w:t>学位教学计划</w:t>
      </w:r>
      <w:r>
        <w:rPr>
          <w:rFonts w:hint="eastAsia" w:hAnsi="宋体"/>
          <w:b/>
          <w:bCs/>
          <w:kern w:val="2"/>
          <w:sz w:val="21"/>
          <w:szCs w:val="28"/>
        </w:rPr>
        <w:t>（建议学分：</w:t>
      </w:r>
      <w:r>
        <w:rPr>
          <w:rFonts w:hint="eastAsia"/>
          <w:b/>
          <w:bCs/>
          <w:kern w:val="2"/>
          <w:sz w:val="21"/>
          <w:szCs w:val="28"/>
        </w:rPr>
        <w:t>50学分</w:t>
      </w:r>
      <w:r>
        <w:rPr>
          <w:rFonts w:hint="eastAsia" w:hAnsi="宋体"/>
          <w:b/>
          <w:bCs/>
          <w:kern w:val="2"/>
          <w:sz w:val="21"/>
          <w:szCs w:val="28"/>
        </w:rPr>
        <w:t>）</w:t>
      </w:r>
    </w:p>
    <w:tbl>
      <w:tblPr>
        <w:tblStyle w:val="5"/>
        <w:tblW w:w="869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8"/>
        <w:gridCol w:w="3593"/>
        <w:gridCol w:w="360"/>
        <w:gridCol w:w="360"/>
        <w:gridCol w:w="360"/>
        <w:gridCol w:w="360"/>
        <w:gridCol w:w="360"/>
        <w:gridCol w:w="360"/>
        <w:gridCol w:w="360"/>
        <w:gridCol w:w="328"/>
        <w:gridCol w:w="344"/>
        <w:gridCol w:w="364"/>
        <w:gridCol w:w="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课程编号</w:t>
            </w:r>
          </w:p>
        </w:tc>
        <w:tc>
          <w:tcPr>
            <w:tcW w:w="3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课</w:t>
            </w:r>
            <w:r>
              <w:rPr>
                <w:kern w:val="2"/>
                <w:sz w:val="18"/>
                <w:szCs w:val="18"/>
              </w:rPr>
              <w:t xml:space="preserve">    </w:t>
            </w:r>
            <w:r>
              <w:rPr>
                <w:rFonts w:hAnsi="宋体"/>
                <w:kern w:val="2"/>
                <w:sz w:val="18"/>
                <w:szCs w:val="18"/>
              </w:rPr>
              <w:t>程</w:t>
            </w:r>
            <w:r>
              <w:rPr>
                <w:kern w:val="2"/>
                <w:sz w:val="18"/>
                <w:szCs w:val="18"/>
              </w:rPr>
              <w:t xml:space="preserve">   </w:t>
            </w:r>
            <w:r>
              <w:rPr>
                <w:rFonts w:hAnsi="宋体"/>
                <w:kern w:val="2"/>
                <w:sz w:val="18"/>
                <w:szCs w:val="18"/>
              </w:rPr>
              <w:t>名</w:t>
            </w:r>
            <w:r>
              <w:rPr>
                <w:kern w:val="2"/>
                <w:sz w:val="18"/>
                <w:szCs w:val="18"/>
              </w:rPr>
              <w:t xml:space="preserve">    </w:t>
            </w:r>
            <w:r>
              <w:rPr>
                <w:rFonts w:hAnsi="宋体"/>
                <w:kern w:val="2"/>
                <w:sz w:val="18"/>
                <w:szCs w:val="18"/>
              </w:rPr>
              <w:t>称</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学分</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课内学时</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上机学时</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课外学时</w:t>
            </w:r>
          </w:p>
        </w:tc>
        <w:tc>
          <w:tcPr>
            <w:tcW w:w="360" w:type="dxa"/>
            <w:vMerge w:val="restart"/>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周学时</w:t>
            </w:r>
          </w:p>
        </w:tc>
        <w:tc>
          <w:tcPr>
            <w:tcW w:w="328" w:type="dxa"/>
            <w:vMerge w:val="restart"/>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授课学年</w:t>
            </w:r>
          </w:p>
        </w:tc>
        <w:tc>
          <w:tcPr>
            <w:tcW w:w="344" w:type="dxa"/>
            <w:vMerge w:val="restart"/>
            <w:tcBorders>
              <w:top w:val="single" w:color="000000" w:sz="4" w:space="0"/>
              <w:left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授课学期</w:t>
            </w: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考核类型</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kern w:val="2"/>
                <w:sz w:val="18"/>
                <w:szCs w:val="18"/>
              </w:rPr>
            </w:pPr>
          </w:p>
        </w:tc>
        <w:tc>
          <w:tcPr>
            <w:tcW w:w="3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kern w:val="2"/>
                <w:sz w:val="18"/>
                <w:szCs w:val="18"/>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kern w:val="2"/>
                <w:sz w:val="18"/>
                <w:szCs w:val="18"/>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授课学时</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实验学时</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r>
              <w:rPr>
                <w:rFonts w:hAnsi="宋体"/>
                <w:kern w:val="2"/>
                <w:sz w:val="18"/>
                <w:szCs w:val="18"/>
              </w:rPr>
              <w:t>讨论学时</w:t>
            </w: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kern w:val="2"/>
                <w:sz w:val="18"/>
                <w:szCs w:val="18"/>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kern w:val="2"/>
                <w:sz w:val="18"/>
                <w:szCs w:val="18"/>
              </w:rPr>
            </w:pPr>
          </w:p>
        </w:tc>
        <w:tc>
          <w:tcPr>
            <w:tcW w:w="360" w:type="dxa"/>
            <w:vMerge w:val="continue"/>
            <w:tcBorders>
              <w:top w:val="single" w:color="000000" w:sz="4" w:space="0"/>
              <w:left w:val="single" w:color="000000" w:sz="4" w:space="0"/>
              <w:bottom w:val="single" w:color="000000" w:sz="8" w:space="0"/>
              <w:right w:val="single" w:color="000000" w:sz="4" w:space="0"/>
            </w:tcBorders>
            <w:vAlign w:val="center"/>
          </w:tcPr>
          <w:p>
            <w:pPr>
              <w:spacing w:line="300" w:lineRule="exact"/>
              <w:rPr>
                <w:kern w:val="2"/>
                <w:sz w:val="18"/>
                <w:szCs w:val="18"/>
              </w:rPr>
            </w:pPr>
          </w:p>
        </w:tc>
        <w:tc>
          <w:tcPr>
            <w:tcW w:w="328" w:type="dxa"/>
            <w:vMerge w:val="continue"/>
            <w:tcBorders>
              <w:top w:val="single" w:color="000000" w:sz="4" w:space="0"/>
              <w:left w:val="single" w:color="000000" w:sz="4" w:space="0"/>
              <w:bottom w:val="single" w:color="000000" w:sz="8" w:space="0"/>
              <w:right w:val="single" w:color="000000" w:sz="4" w:space="0"/>
            </w:tcBorders>
            <w:vAlign w:val="center"/>
          </w:tcPr>
          <w:p>
            <w:pPr>
              <w:spacing w:line="300" w:lineRule="exact"/>
              <w:rPr>
                <w:kern w:val="2"/>
                <w:sz w:val="18"/>
                <w:szCs w:val="18"/>
              </w:rPr>
            </w:pPr>
          </w:p>
        </w:tc>
        <w:tc>
          <w:tcPr>
            <w:tcW w:w="344" w:type="dxa"/>
            <w:vMerge w:val="continue"/>
            <w:tcBorders>
              <w:left w:val="single" w:color="000000" w:sz="4" w:space="0"/>
              <w:bottom w:val="single" w:color="000000" w:sz="4" w:space="0"/>
              <w:right w:val="single" w:color="000000" w:sz="4" w:space="0"/>
            </w:tcBorders>
          </w:tcPr>
          <w:p>
            <w:pPr>
              <w:spacing w:line="300" w:lineRule="exact"/>
              <w:rPr>
                <w:kern w:val="2"/>
                <w:sz w:val="18"/>
                <w:szCs w:val="18"/>
              </w:rPr>
            </w:pPr>
          </w:p>
        </w:tc>
        <w:tc>
          <w:tcPr>
            <w:tcW w:w="36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kern w:val="2"/>
                <w:sz w:val="18"/>
                <w:szCs w:val="18"/>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5" w:hRule="atLeast"/>
          <w:jc w:val="center"/>
        </w:trPr>
        <w:tc>
          <w:tcPr>
            <w:tcW w:w="90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B071101</w:t>
            </w:r>
            <w:r>
              <w:rPr>
                <w:rFonts w:hint="eastAsia" w:hAnsi="宋体"/>
                <w:kern w:val="2"/>
                <w:sz w:val="18"/>
                <w:szCs w:val="18"/>
              </w:rPr>
              <w:t>1</w:t>
            </w:r>
          </w:p>
        </w:tc>
        <w:tc>
          <w:tcPr>
            <w:tcW w:w="3593" w:type="dxa"/>
            <w:tcBorders>
              <w:top w:val="single" w:color="000000"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int="eastAsia" w:hAnsi="宋体"/>
                <w:kern w:val="2"/>
                <w:sz w:val="18"/>
                <w:szCs w:val="18"/>
              </w:rPr>
              <w:t>实变函数</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16</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w:t>
            </w:r>
          </w:p>
        </w:tc>
        <w:tc>
          <w:tcPr>
            <w:tcW w:w="32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二</w:t>
            </w:r>
          </w:p>
        </w:tc>
        <w:tc>
          <w:tcPr>
            <w:tcW w:w="344" w:type="dxa"/>
            <w:tcBorders>
              <w:top w:val="single" w:color="000000"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B0731010</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int="eastAsia" w:hAnsi="宋体"/>
                <w:kern w:val="2"/>
                <w:sz w:val="18"/>
                <w:szCs w:val="18"/>
              </w:rPr>
              <w:t>数理统计</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二</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B0721011</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int="eastAsia" w:hAnsi="宋体"/>
                <w:kern w:val="2"/>
                <w:sz w:val="18"/>
                <w:szCs w:val="18"/>
              </w:rPr>
              <w:t>数值分析</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16</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二</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B0731020</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int="eastAsia" w:hAnsi="宋体"/>
                <w:kern w:val="2"/>
                <w:sz w:val="18"/>
                <w:szCs w:val="18"/>
              </w:rPr>
            </w:pPr>
            <w:r>
              <w:rPr>
                <w:rFonts w:hAnsi="宋体"/>
                <w:kern w:val="2"/>
                <w:sz w:val="18"/>
                <w:szCs w:val="18"/>
              </w:rPr>
              <w:t>随机过程</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二</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int="eastAsia"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B0731031</w:t>
            </w:r>
          </w:p>
        </w:tc>
        <w:tc>
          <w:tcPr>
            <w:tcW w:w="359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both"/>
              <w:rPr>
                <w:rFonts w:hAnsi="宋体"/>
                <w:kern w:val="2"/>
                <w:sz w:val="18"/>
                <w:szCs w:val="18"/>
              </w:rPr>
            </w:pPr>
            <w:r>
              <w:rPr>
                <w:rFonts w:hint="eastAsia" w:hAnsi="宋体"/>
                <w:kern w:val="2"/>
                <w:sz w:val="18"/>
                <w:szCs w:val="18"/>
              </w:rPr>
              <w:t>回归分析(双语)</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B0731040</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Ansi="宋体"/>
                <w:kern w:val="2"/>
                <w:sz w:val="18"/>
                <w:szCs w:val="18"/>
              </w:rPr>
              <w:t>抽样调查</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B072104</w:t>
            </w:r>
            <w:r>
              <w:rPr>
                <w:rFonts w:hint="eastAsia" w:hAnsi="宋体"/>
                <w:kern w:val="2"/>
                <w:sz w:val="18"/>
                <w:szCs w:val="18"/>
              </w:rPr>
              <w:t>1</w:t>
            </w:r>
          </w:p>
        </w:tc>
        <w:tc>
          <w:tcPr>
            <w:tcW w:w="359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both"/>
              <w:rPr>
                <w:rFonts w:hAnsi="宋体"/>
                <w:kern w:val="2"/>
                <w:sz w:val="18"/>
                <w:szCs w:val="18"/>
              </w:rPr>
            </w:pPr>
            <w:r>
              <w:rPr>
                <w:rFonts w:hAnsi="宋体"/>
                <w:kern w:val="2"/>
                <w:sz w:val="18"/>
                <w:szCs w:val="18"/>
              </w:rPr>
              <w:t>最优化方法</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B0731061</w:t>
            </w:r>
          </w:p>
        </w:tc>
        <w:tc>
          <w:tcPr>
            <w:tcW w:w="359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both"/>
              <w:rPr>
                <w:rFonts w:hAnsi="宋体"/>
                <w:kern w:val="2"/>
                <w:sz w:val="18"/>
                <w:szCs w:val="18"/>
              </w:rPr>
            </w:pPr>
            <w:r>
              <w:rPr>
                <w:rFonts w:hAnsi="宋体"/>
                <w:kern w:val="2"/>
                <w:sz w:val="18"/>
                <w:szCs w:val="18"/>
              </w:rPr>
              <w:t>多元统计分析</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B0732060</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int="eastAsia" w:hAnsi="宋体"/>
                <w:kern w:val="2"/>
                <w:sz w:val="18"/>
                <w:szCs w:val="18"/>
              </w:rPr>
              <w:t>贝叶斯分析</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B0731051</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Ansi="宋体"/>
                <w:kern w:val="2"/>
                <w:sz w:val="18"/>
                <w:szCs w:val="18"/>
              </w:rPr>
              <w:t>时间序列分析</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B0731070</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Ansi="宋体"/>
                <w:kern w:val="2"/>
                <w:sz w:val="18"/>
                <w:szCs w:val="18"/>
              </w:rPr>
              <w:t>统计计算</w:t>
            </w:r>
            <w:r>
              <w:rPr>
                <w:rFonts w:hint="eastAsia" w:hAnsi="宋体"/>
                <w:kern w:val="2"/>
                <w:sz w:val="18"/>
                <w:szCs w:val="18"/>
              </w:rPr>
              <w:t>(双语)</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B0722020</w:t>
            </w:r>
          </w:p>
        </w:tc>
        <w:tc>
          <w:tcPr>
            <w:tcW w:w="359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both"/>
              <w:rPr>
                <w:rFonts w:hAnsi="宋体"/>
                <w:kern w:val="2"/>
                <w:sz w:val="18"/>
                <w:szCs w:val="18"/>
              </w:rPr>
            </w:pPr>
            <w:r>
              <w:rPr>
                <w:rFonts w:hAnsi="宋体"/>
                <w:kern w:val="2"/>
                <w:sz w:val="18"/>
                <w:szCs w:val="18"/>
              </w:rPr>
              <w:t>运筹学</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B073302</w:t>
            </w:r>
            <w:r>
              <w:rPr>
                <w:rFonts w:hint="eastAsia" w:hAnsi="宋体"/>
                <w:kern w:val="2"/>
                <w:sz w:val="18"/>
                <w:szCs w:val="18"/>
              </w:rPr>
              <w:t>1</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Ansi="宋体"/>
                <w:kern w:val="2"/>
                <w:sz w:val="18"/>
                <w:szCs w:val="18"/>
              </w:rPr>
              <w:t>仿真和统计案例分析</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48</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三</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B073303</w:t>
            </w:r>
            <w:r>
              <w:rPr>
                <w:rFonts w:hint="eastAsia" w:hAnsi="宋体"/>
                <w:kern w:val="2"/>
                <w:sz w:val="18"/>
                <w:szCs w:val="18"/>
              </w:rPr>
              <w:t>1</w:t>
            </w:r>
          </w:p>
        </w:tc>
        <w:tc>
          <w:tcPr>
            <w:tcW w:w="3593"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both"/>
              <w:rPr>
                <w:rFonts w:hAnsi="宋体"/>
                <w:kern w:val="2"/>
                <w:sz w:val="18"/>
                <w:szCs w:val="18"/>
              </w:rPr>
            </w:pPr>
            <w:r>
              <w:rPr>
                <w:rFonts w:hAnsi="宋体"/>
                <w:kern w:val="2"/>
                <w:sz w:val="18"/>
                <w:szCs w:val="18"/>
              </w:rPr>
              <w:t>统计预测与决策</w:t>
            </w:r>
            <w:r>
              <w:rPr>
                <w:rFonts w:hint="eastAsia" w:hAnsi="宋体"/>
                <w:kern w:val="2"/>
                <w:sz w:val="18"/>
                <w:szCs w:val="18"/>
              </w:rPr>
              <w:t>(</w:t>
            </w:r>
            <w:r>
              <w:rPr>
                <w:rFonts w:hAnsi="宋体"/>
                <w:kern w:val="2"/>
                <w:sz w:val="18"/>
                <w:szCs w:val="18"/>
              </w:rPr>
              <w:t>研</w:t>
            </w:r>
            <w:r>
              <w:rPr>
                <w:rFonts w:hint="eastAsia" w:hAnsi="宋体"/>
                <w:kern w:val="2"/>
                <w:sz w:val="18"/>
                <w:szCs w:val="18"/>
              </w:rPr>
              <w:t>讨</w:t>
            </w:r>
            <w:r>
              <w:rPr>
                <w:rFonts w:hAnsi="宋体"/>
                <w:kern w:val="2"/>
                <w:sz w:val="18"/>
                <w:szCs w:val="18"/>
              </w:rPr>
              <w:t>)</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32</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16</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0</w:t>
            </w:r>
          </w:p>
        </w:tc>
        <w:tc>
          <w:tcPr>
            <w:tcW w:w="36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3</w:t>
            </w:r>
          </w:p>
        </w:tc>
        <w:tc>
          <w:tcPr>
            <w:tcW w:w="3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四</w:t>
            </w:r>
          </w:p>
        </w:tc>
        <w:tc>
          <w:tcPr>
            <w:tcW w:w="344" w:type="dxa"/>
            <w:tcBorders>
              <w:top w:val="single" w:color="auto" w:sz="4" w:space="0"/>
              <w:left w:val="single" w:color="000000" w:sz="4" w:space="0"/>
              <w:bottom w:val="single" w:color="auto" w:sz="4" w:space="0"/>
              <w:right w:val="single" w:color="000000" w:sz="4" w:space="0"/>
            </w:tcBorders>
            <w:shd w:val="clear" w:color="auto" w:fill="FFFFFF"/>
          </w:tcPr>
          <w:p>
            <w:pPr>
              <w:widowControl w:val="0"/>
              <w:spacing w:line="300" w:lineRule="exact"/>
              <w:jc w:val="center"/>
              <w:rPr>
                <w:rFonts w:hint="eastAsia" w:hAnsi="宋体" w:eastAsia="宋体"/>
                <w:kern w:val="2"/>
                <w:sz w:val="18"/>
                <w:szCs w:val="18"/>
                <w:lang w:eastAsia="zh-CN"/>
              </w:rPr>
            </w:pPr>
            <w:r>
              <w:rPr>
                <w:rFonts w:hint="eastAsia" w:hAnsi="宋体"/>
                <w:kern w:val="2"/>
                <w:sz w:val="18"/>
                <w:szCs w:val="18"/>
                <w:lang w:val="en-US" w:eastAsia="zh-CN"/>
              </w:rPr>
              <w:t>2</w:t>
            </w:r>
          </w:p>
        </w:tc>
        <w:tc>
          <w:tcPr>
            <w:tcW w:w="364"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w:t>
            </w:r>
          </w:p>
        </w:tc>
        <w:tc>
          <w:tcPr>
            <w:tcW w:w="64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jc w:val="center"/>
        </w:trPr>
        <w:tc>
          <w:tcPr>
            <w:tcW w:w="90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B0704010</w:t>
            </w:r>
          </w:p>
        </w:tc>
        <w:tc>
          <w:tcPr>
            <w:tcW w:w="3593" w:type="dxa"/>
            <w:tcBorders>
              <w:top w:val="single" w:color="auto" w:sz="4" w:space="0"/>
              <w:left w:val="single" w:color="000000" w:sz="4" w:space="0"/>
              <w:bottom w:val="single" w:color="000000" w:sz="4" w:space="0"/>
              <w:right w:val="single" w:color="000000" w:sz="4" w:space="0"/>
            </w:tcBorders>
            <w:shd w:val="clear" w:color="auto" w:fill="FFFFFF"/>
          </w:tcPr>
          <w:p>
            <w:pPr>
              <w:widowControl w:val="0"/>
              <w:spacing w:line="300" w:lineRule="exact"/>
              <w:jc w:val="both"/>
              <w:rPr>
                <w:rFonts w:hAnsi="宋体"/>
                <w:kern w:val="2"/>
                <w:sz w:val="18"/>
                <w:szCs w:val="18"/>
              </w:rPr>
            </w:pPr>
            <w:r>
              <w:rPr>
                <w:rFonts w:hint="eastAsia" w:hAnsi="宋体"/>
                <w:kern w:val="2"/>
                <w:sz w:val="18"/>
                <w:szCs w:val="18"/>
              </w:rPr>
              <w:t>毕业设计</w:t>
            </w: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Ansi="宋体"/>
                <w:kern w:val="2"/>
                <w:sz w:val="18"/>
                <w:szCs w:val="18"/>
              </w:rPr>
              <w:t>8</w:t>
            </w: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8周</w:t>
            </w: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3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32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r>
              <w:rPr>
                <w:rFonts w:hint="eastAsia" w:hAnsi="宋体"/>
                <w:kern w:val="2"/>
                <w:sz w:val="18"/>
                <w:szCs w:val="18"/>
              </w:rPr>
              <w:t>四</w:t>
            </w:r>
          </w:p>
        </w:tc>
        <w:tc>
          <w:tcPr>
            <w:tcW w:w="344" w:type="dxa"/>
            <w:tcBorders>
              <w:top w:val="single" w:color="auto" w:sz="4" w:space="0"/>
              <w:left w:val="single" w:color="000000" w:sz="4" w:space="0"/>
              <w:bottom w:val="single" w:color="000000" w:sz="4" w:space="0"/>
              <w:right w:val="single" w:color="000000" w:sz="4" w:space="0"/>
            </w:tcBorders>
            <w:shd w:val="clear" w:color="auto" w:fill="FFFFFF"/>
          </w:tcPr>
          <w:p>
            <w:pPr>
              <w:widowControl w:val="0"/>
              <w:spacing w:line="300" w:lineRule="exact"/>
              <w:jc w:val="center"/>
              <w:rPr>
                <w:rFonts w:hAnsi="宋体"/>
                <w:kern w:val="2"/>
                <w:sz w:val="18"/>
                <w:szCs w:val="18"/>
              </w:rPr>
            </w:pPr>
            <w:r>
              <w:rPr>
                <w:rFonts w:hint="eastAsia" w:hAnsi="宋体"/>
                <w:kern w:val="2"/>
                <w:sz w:val="18"/>
                <w:szCs w:val="18"/>
              </w:rPr>
              <w:t>3</w:t>
            </w:r>
          </w:p>
        </w:tc>
        <w:tc>
          <w:tcPr>
            <w:tcW w:w="364"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c>
          <w:tcPr>
            <w:tcW w:w="64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rFonts w:hAnsi="宋体"/>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b/>
                <w:kern w:val="2"/>
                <w:sz w:val="18"/>
                <w:szCs w:val="18"/>
              </w:rPr>
            </w:pPr>
            <w:r>
              <w:rPr>
                <w:rFonts w:hint="eastAsia"/>
                <w:b/>
                <w:kern w:val="2"/>
                <w:sz w:val="18"/>
                <w:szCs w:val="18"/>
              </w:rPr>
              <w:t>合计</w:t>
            </w:r>
          </w:p>
        </w:tc>
        <w:tc>
          <w:tcPr>
            <w:tcW w:w="36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spacing w:line="300" w:lineRule="exact"/>
              <w:jc w:val="center"/>
              <w:rPr>
                <w:rFonts w:ascii="??" w:hAnsi="??" w:cs="??"/>
                <w:kern w:val="2"/>
                <w:sz w:val="21"/>
                <w:szCs w:val="21"/>
              </w:rPr>
            </w:pPr>
            <w:r>
              <w:rPr>
                <w:rFonts w:ascii="??" w:hAnsi="??" w:cs="??"/>
                <w:kern w:val="2"/>
                <w:sz w:val="21"/>
                <w:szCs w:val="21"/>
              </w:rPr>
              <w:t>50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21"/>
                <w:szCs w:val="21"/>
              </w:rPr>
            </w:pPr>
            <w:r>
              <w:rPr>
                <w:kern w:val="2"/>
                <w:sz w:val="21"/>
                <w:szCs w:val="21"/>
              </w:rPr>
              <w:t>6</w:t>
            </w:r>
            <w:r>
              <w:rPr>
                <w:rFonts w:hint="eastAsia"/>
                <w:kern w:val="2"/>
                <w:sz w:val="21"/>
                <w:szCs w:val="21"/>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21"/>
                <w:szCs w:val="21"/>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FFFFFF"/>
          </w:tcPr>
          <w:p>
            <w:pPr>
              <w:widowControl w:val="0"/>
              <w:spacing w:line="300" w:lineRule="exact"/>
              <w:jc w:val="center"/>
              <w:rPr>
                <w:kern w:val="2"/>
                <w:sz w:val="18"/>
                <w:szCs w:val="18"/>
              </w:rPr>
            </w:pPr>
          </w:p>
        </w:tc>
        <w:tc>
          <w:tcPr>
            <w:tcW w:w="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line="300" w:lineRule="exact"/>
              <w:jc w:val="center"/>
              <w:rPr>
                <w:kern w:val="2"/>
                <w:sz w:val="18"/>
                <w:szCs w:val="18"/>
              </w:rPr>
            </w:pPr>
          </w:p>
        </w:tc>
      </w:tr>
    </w:tbl>
    <w:p>
      <w:pPr>
        <w:widowControl w:val="0"/>
        <w:spacing w:line="300" w:lineRule="exact"/>
        <w:jc w:val="both"/>
        <w:rPr>
          <w:rFonts w:ascii="宋体" w:hAnsi="宋体"/>
          <w:b/>
          <w:kern w:val="2"/>
          <w:sz w:val="21"/>
        </w:rPr>
      </w:pPr>
    </w:p>
    <w:p>
      <w:pPr>
        <w:widowControl w:val="0"/>
        <w:spacing w:line="300" w:lineRule="exact"/>
        <w:jc w:val="both"/>
        <w:rPr>
          <w:rFonts w:ascii="宋体" w:hAnsi="宋体"/>
          <w:b/>
          <w:kern w:val="2"/>
          <w:sz w:val="21"/>
        </w:rPr>
      </w:pPr>
      <w:r>
        <w:rPr>
          <w:rFonts w:hint="eastAsia" w:ascii="宋体" w:hAnsi="宋体"/>
          <w:b/>
          <w:kern w:val="2"/>
          <w:sz w:val="21"/>
        </w:rPr>
        <w:t>2. 辅修学士学位教学计划课程设置要求：</w:t>
      </w:r>
    </w:p>
    <w:p>
      <w:pPr>
        <w:widowControl w:val="0"/>
        <w:spacing w:line="300" w:lineRule="exact"/>
        <w:ind w:firstLine="371" w:firstLineChars="177"/>
        <w:jc w:val="both"/>
        <w:rPr>
          <w:kern w:val="2"/>
          <w:sz w:val="21"/>
        </w:rPr>
      </w:pPr>
      <w:r>
        <w:rPr>
          <w:rFonts w:hint="eastAsia"/>
          <w:kern w:val="2"/>
          <w:sz w:val="21"/>
        </w:rPr>
        <w:t>培养目标：本专业培养德智体美全面发展，具有良好的数学基础和数据分析能力、较宽的知识面，掌握概率论与数理统计的基本理论、方法与技能，受到科学研究的初步训练，具有创新意识和创新能力的统计学高级专门人才。同时，培养学生具有开阔的视野，将统计学在金融、生物医学及工程等领域进行实际应用的能力。</w:t>
      </w:r>
    </w:p>
    <w:p>
      <w:pPr>
        <w:widowControl w:val="0"/>
        <w:spacing w:line="300" w:lineRule="exact"/>
        <w:ind w:firstLine="371" w:firstLineChars="177"/>
        <w:jc w:val="both"/>
        <w:rPr>
          <w:kern w:val="2"/>
          <w:sz w:val="21"/>
          <w:szCs w:val="21"/>
        </w:rPr>
      </w:pPr>
      <w:r>
        <w:rPr>
          <w:rFonts w:hint="eastAsia"/>
          <w:kern w:val="2"/>
          <w:sz w:val="21"/>
        </w:rPr>
        <w:t>课程设置：覆盖了专业大类学科基础课和专业主干课的几乎所有核心课程，达到</w:t>
      </w:r>
      <w:r>
        <w:rPr>
          <w:kern w:val="2"/>
          <w:sz w:val="21"/>
          <w:szCs w:val="21"/>
        </w:rPr>
        <w:t>教育部高校</w:t>
      </w:r>
      <w:r>
        <w:rPr>
          <w:rFonts w:hint="eastAsia"/>
          <w:kern w:val="2"/>
          <w:sz w:val="21"/>
          <w:szCs w:val="21"/>
        </w:rPr>
        <w:t>统计</w:t>
      </w:r>
      <w:r>
        <w:rPr>
          <w:kern w:val="2"/>
          <w:sz w:val="21"/>
          <w:szCs w:val="21"/>
        </w:rPr>
        <w:t>学学科</w:t>
      </w:r>
      <w:r>
        <w:fldChar w:fldCharType="begin"/>
      </w:r>
      <w:r>
        <w:instrText xml:space="preserve"> HYPERLINK "https://www.baidu.com/s?wd=%E5%AD%A6%E7%A7%91%E6%95%99%E5%AD%A6&amp;hl_tag=textlink&amp;tn=SE_hldp01350_v6v6zkg6" \t "http://zhidao.baidu.com/_blank" </w:instrText>
      </w:r>
      <w:r>
        <w:fldChar w:fldCharType="separate"/>
      </w:r>
      <w:r>
        <w:rPr>
          <w:kern w:val="2"/>
          <w:sz w:val="21"/>
          <w:szCs w:val="21"/>
        </w:rPr>
        <w:t>教学</w:t>
      </w:r>
      <w:r>
        <w:rPr>
          <w:kern w:val="2"/>
          <w:sz w:val="21"/>
          <w:szCs w:val="21"/>
        </w:rPr>
        <w:fldChar w:fldCharType="end"/>
      </w:r>
      <w:r>
        <w:rPr>
          <w:kern w:val="2"/>
          <w:sz w:val="21"/>
          <w:szCs w:val="21"/>
        </w:rPr>
        <w:t>指导委员会确定的</w:t>
      </w:r>
      <w:r>
        <w:fldChar w:fldCharType="begin"/>
      </w:r>
      <w:r>
        <w:instrText xml:space="preserve"> HYPERLINK "https://www.baidu.com/s?wd=%E6%A0%B8%E5%BF%83%E8%AF%BE%E7%A8%8B&amp;hl_tag=textlink&amp;tn=SE_hldp01350_v6v6zkg6" \t "http://zhidao.baidu.com/_blank" </w:instrText>
      </w:r>
      <w:r>
        <w:fldChar w:fldCharType="separate"/>
      </w:r>
      <w:r>
        <w:rPr>
          <w:kern w:val="2"/>
          <w:sz w:val="21"/>
          <w:szCs w:val="21"/>
        </w:rPr>
        <w:t>核心课程</w:t>
      </w:r>
      <w:r>
        <w:rPr>
          <w:kern w:val="2"/>
          <w:sz w:val="21"/>
          <w:szCs w:val="21"/>
        </w:rPr>
        <w:fldChar w:fldCharType="end"/>
      </w:r>
      <w:r>
        <w:rPr>
          <w:rFonts w:hint="eastAsia"/>
          <w:kern w:val="2"/>
          <w:sz w:val="21"/>
          <w:szCs w:val="21"/>
        </w:rPr>
        <w:t>的要求和授予统计学学位的最低标准。通过课程的学习，</w:t>
      </w:r>
      <w:r>
        <w:rPr>
          <w:kern w:val="2"/>
          <w:sz w:val="21"/>
          <w:szCs w:val="21"/>
        </w:rPr>
        <w:t>学生对</w:t>
      </w:r>
      <w:r>
        <w:rPr>
          <w:rFonts w:hint="eastAsia"/>
          <w:kern w:val="2"/>
          <w:sz w:val="21"/>
          <w:szCs w:val="21"/>
        </w:rPr>
        <w:t>统计</w:t>
      </w:r>
      <w:r>
        <w:rPr>
          <w:kern w:val="2"/>
          <w:sz w:val="21"/>
          <w:szCs w:val="21"/>
        </w:rPr>
        <w:t>学学科</w:t>
      </w:r>
      <w:r>
        <w:rPr>
          <w:rFonts w:hint="eastAsia"/>
          <w:kern w:val="2"/>
          <w:sz w:val="21"/>
          <w:szCs w:val="21"/>
        </w:rPr>
        <w:t>将会</w:t>
      </w:r>
      <w:r>
        <w:rPr>
          <w:kern w:val="2"/>
          <w:sz w:val="21"/>
          <w:szCs w:val="21"/>
        </w:rPr>
        <w:t>有一个</w:t>
      </w:r>
      <w:r>
        <w:rPr>
          <w:rFonts w:hint="eastAsia"/>
          <w:kern w:val="2"/>
          <w:sz w:val="21"/>
          <w:szCs w:val="21"/>
        </w:rPr>
        <w:t>比较</w:t>
      </w:r>
      <w:r>
        <w:rPr>
          <w:kern w:val="2"/>
          <w:sz w:val="21"/>
          <w:szCs w:val="21"/>
        </w:rPr>
        <w:t>全面</w:t>
      </w:r>
      <w:r>
        <w:rPr>
          <w:rFonts w:hint="eastAsia"/>
          <w:kern w:val="2"/>
          <w:sz w:val="21"/>
          <w:szCs w:val="21"/>
        </w:rPr>
        <w:t>系统</w:t>
      </w:r>
      <w:r>
        <w:rPr>
          <w:kern w:val="2"/>
          <w:sz w:val="21"/>
          <w:szCs w:val="21"/>
        </w:rPr>
        <w:t>的了解，</w:t>
      </w:r>
      <w:r>
        <w:rPr>
          <w:rFonts w:hint="eastAsia"/>
          <w:kern w:val="2"/>
          <w:sz w:val="21"/>
          <w:szCs w:val="21"/>
        </w:rPr>
        <w:t>可</w:t>
      </w:r>
      <w:r>
        <w:rPr>
          <w:kern w:val="2"/>
          <w:sz w:val="21"/>
          <w:szCs w:val="21"/>
        </w:rPr>
        <w:t>构建</w:t>
      </w:r>
      <w:r>
        <w:rPr>
          <w:rFonts w:hint="eastAsia"/>
          <w:kern w:val="2"/>
          <w:sz w:val="21"/>
          <w:szCs w:val="21"/>
        </w:rPr>
        <w:t>较</w:t>
      </w:r>
      <w:r>
        <w:rPr>
          <w:kern w:val="2"/>
          <w:sz w:val="21"/>
          <w:szCs w:val="21"/>
        </w:rPr>
        <w:t>完整的</w:t>
      </w:r>
      <w:r>
        <w:rPr>
          <w:rFonts w:hint="eastAsia"/>
          <w:kern w:val="2"/>
          <w:sz w:val="21"/>
          <w:szCs w:val="21"/>
        </w:rPr>
        <w:t>统计</w:t>
      </w:r>
      <w:r>
        <w:rPr>
          <w:kern w:val="2"/>
          <w:sz w:val="21"/>
          <w:szCs w:val="21"/>
        </w:rPr>
        <w:t>学知识体系。</w:t>
      </w:r>
    </w:p>
    <w:p>
      <w:pPr>
        <w:widowControl w:val="0"/>
        <w:spacing w:line="300" w:lineRule="exact"/>
        <w:jc w:val="both"/>
        <w:rPr>
          <w:rFonts w:ascii="宋体" w:hAnsi="宋体"/>
          <w:b/>
          <w:kern w:val="2"/>
          <w:sz w:val="21"/>
          <w:szCs w:val="21"/>
        </w:rPr>
      </w:pPr>
      <w:r>
        <w:rPr>
          <w:rFonts w:hint="eastAsia" w:ascii="宋体" w:hAnsi="宋体"/>
          <w:b/>
          <w:kern w:val="2"/>
          <w:sz w:val="21"/>
          <w:szCs w:val="21"/>
        </w:rPr>
        <w:t>3．辅修学士学位课程对学生能力的培养：</w:t>
      </w:r>
    </w:p>
    <w:p>
      <w:pPr>
        <w:widowControl w:val="0"/>
        <w:spacing w:line="300" w:lineRule="exact"/>
        <w:ind w:firstLine="371" w:firstLineChars="177"/>
        <w:jc w:val="both"/>
        <w:rPr>
          <w:kern w:val="2"/>
          <w:sz w:val="21"/>
          <w:szCs w:val="21"/>
        </w:rPr>
      </w:pPr>
      <w:r>
        <w:rPr>
          <w:rFonts w:hint="eastAsia"/>
          <w:kern w:val="2"/>
          <w:sz w:val="21"/>
          <w:szCs w:val="21"/>
        </w:rPr>
        <w:t>知识：具有坚实的数学和自然科学基础、系统的专业知识，受到严格的科学思维训练，掌握概率论与数理统计的基础理论、方法和技能。</w:t>
      </w:r>
    </w:p>
    <w:p>
      <w:pPr>
        <w:widowControl w:val="0"/>
        <w:spacing w:line="300" w:lineRule="exact"/>
        <w:ind w:firstLine="371" w:firstLineChars="177"/>
        <w:jc w:val="both"/>
        <w:rPr>
          <w:kern w:val="2"/>
          <w:sz w:val="21"/>
          <w:szCs w:val="21"/>
        </w:rPr>
      </w:pPr>
      <w:r>
        <w:rPr>
          <w:rFonts w:hint="eastAsia"/>
          <w:kern w:val="2"/>
          <w:sz w:val="21"/>
          <w:szCs w:val="21"/>
        </w:rPr>
        <w:t>能力：具有数据分析、概括总结的能力，具有较强的创新意识和创新实践能力以及良好的文字和口头表达能力。</w:t>
      </w:r>
    </w:p>
    <w:p>
      <w:pPr>
        <w:widowControl w:val="0"/>
        <w:spacing w:line="300" w:lineRule="exact"/>
        <w:ind w:firstLine="420" w:firstLineChars="200"/>
        <w:jc w:val="both"/>
        <w:rPr>
          <w:kern w:val="2"/>
          <w:sz w:val="21"/>
          <w:szCs w:val="21"/>
        </w:rPr>
      </w:pPr>
      <w:r>
        <w:rPr>
          <w:rFonts w:hint="eastAsia"/>
          <w:kern w:val="2"/>
          <w:sz w:val="21"/>
          <w:szCs w:val="21"/>
        </w:rPr>
        <w:t>素质：具有良好的思想道德素质、文化素质、心理素质和身体素质，具有组织协调、人际交往能力，具有团队精神。</w:t>
      </w:r>
    </w:p>
    <w:p>
      <w:pPr>
        <w:widowControl w:val="0"/>
        <w:spacing w:line="300" w:lineRule="exact"/>
        <w:jc w:val="both"/>
        <w:rPr>
          <w:rFonts w:ascii="宋体" w:hAnsi="宋体"/>
          <w:b/>
          <w:kern w:val="2"/>
          <w:sz w:val="21"/>
          <w:szCs w:val="21"/>
        </w:rPr>
      </w:pPr>
      <w:r>
        <w:rPr>
          <w:rFonts w:hint="eastAsia" w:ascii="宋体" w:hAnsi="宋体"/>
          <w:b/>
          <w:kern w:val="2"/>
          <w:sz w:val="21"/>
          <w:szCs w:val="21"/>
        </w:rPr>
        <w:t>4．辅修学士</w:t>
      </w:r>
      <w:r>
        <w:rPr>
          <w:rFonts w:hint="eastAsia" w:ascii="Calibri" w:hAnsi="Calibri"/>
          <w:b/>
          <w:kern w:val="2"/>
          <w:sz w:val="21"/>
          <w:szCs w:val="21"/>
        </w:rPr>
        <w:t>学位管理工作的要求：</w:t>
      </w:r>
    </w:p>
    <w:p>
      <w:pPr>
        <w:widowControl w:val="0"/>
        <w:spacing w:line="300" w:lineRule="exact"/>
        <w:ind w:firstLine="420" w:firstLineChars="200"/>
        <w:jc w:val="both"/>
        <w:rPr>
          <w:rFonts w:ascii="宋体" w:hAnsi="宋体"/>
          <w:kern w:val="2"/>
          <w:sz w:val="21"/>
          <w:szCs w:val="21"/>
          <w:shd w:val="clear" w:color="auto" w:fill="FFFFFF"/>
        </w:rPr>
      </w:pPr>
      <w:r>
        <w:rPr>
          <w:rFonts w:hint="eastAsia"/>
          <w:kern w:val="2"/>
          <w:sz w:val="21"/>
          <w:szCs w:val="21"/>
        </w:rPr>
        <w:t>报名要求：</w:t>
      </w:r>
      <w:r>
        <w:rPr>
          <w:rFonts w:ascii="仿宋_GB2312"/>
          <w:kern w:val="2"/>
          <w:sz w:val="21"/>
          <w:szCs w:val="21"/>
          <w:shd w:val="clear" w:color="auto" w:fill="FFFFFF"/>
        </w:rPr>
        <w:t>原则上</w:t>
      </w:r>
      <w:r>
        <w:rPr>
          <w:rFonts w:hint="eastAsia" w:ascii="仿宋_GB2312"/>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hint="eastAsia" w:ascii="宋体" w:hAnsi="宋体"/>
          <w:kern w:val="2"/>
          <w:sz w:val="21"/>
          <w:szCs w:val="21"/>
          <w:shd w:val="clear" w:color="auto" w:fill="FFFFFF"/>
        </w:rPr>
        <w:t>教育部2012年颁布的新专业目录中专业类以及跨东南大学招生专业大类</w:t>
      </w:r>
      <w:r>
        <w:rPr>
          <w:rFonts w:ascii="宋体" w:hAnsi="宋体"/>
          <w:kern w:val="2"/>
          <w:sz w:val="21"/>
          <w:szCs w:val="21"/>
          <w:shd w:val="clear" w:color="auto" w:fill="FFFFFF"/>
        </w:rPr>
        <w:t>修读</w:t>
      </w:r>
      <w:r>
        <w:rPr>
          <w:rFonts w:hint="eastAsia" w:ascii="宋体" w:hAnsi="宋体"/>
          <w:kern w:val="2"/>
          <w:sz w:val="21"/>
          <w:szCs w:val="21"/>
          <w:shd w:val="clear" w:color="auto" w:fill="FFFFFF"/>
        </w:rPr>
        <w:t>辅修学士学位；大一下学期学生报名，大二上学期--大四下学期参加学习。</w:t>
      </w:r>
    </w:p>
    <w:p>
      <w:pPr>
        <w:widowControl w:val="0"/>
        <w:spacing w:line="300" w:lineRule="exact"/>
        <w:ind w:firstLine="420" w:firstLineChars="200"/>
        <w:jc w:val="both"/>
        <w:rPr>
          <w:rFonts w:ascii="仿宋_GB2312" w:hAnsi="Calibri"/>
          <w:kern w:val="2"/>
          <w:sz w:val="21"/>
          <w:szCs w:val="21"/>
          <w:shd w:val="clear" w:color="auto" w:fill="FFFFFF"/>
        </w:rPr>
      </w:pPr>
      <w:r>
        <w:rPr>
          <w:rFonts w:hint="eastAsia" w:ascii="Calibri" w:hAnsi="Calibri"/>
          <w:kern w:val="2"/>
          <w:sz w:val="21"/>
          <w:szCs w:val="21"/>
          <w:shd w:val="clear" w:color="auto" w:fill="FFFFFF"/>
        </w:rPr>
        <w:t>修读要求：若</w:t>
      </w:r>
      <w:r>
        <w:rPr>
          <w:rFonts w:ascii="仿宋_GB2312" w:hAnsi="Calibri"/>
          <w:kern w:val="2"/>
          <w:sz w:val="21"/>
          <w:szCs w:val="21"/>
          <w:shd w:val="clear" w:color="auto" w:fill="FFFFFF"/>
        </w:rPr>
        <w:t>辅修</w:t>
      </w:r>
      <w:r>
        <w:rPr>
          <w:rFonts w:hint="eastAsia" w:ascii="仿宋_GB2312" w:hAnsi="Calibri"/>
          <w:kern w:val="2"/>
          <w:sz w:val="21"/>
          <w:szCs w:val="21"/>
          <w:shd w:val="clear" w:color="auto" w:fill="FFFFFF"/>
        </w:rPr>
        <w:t>学士</w:t>
      </w:r>
      <w:r>
        <w:rPr>
          <w:rFonts w:ascii="仿宋_GB2312" w:hAnsi="Calibri"/>
          <w:kern w:val="2"/>
          <w:sz w:val="21"/>
          <w:szCs w:val="21"/>
          <w:shd w:val="clear" w:color="auto" w:fill="FFFFFF"/>
        </w:rPr>
        <w:t>学位</w:t>
      </w:r>
      <w:r>
        <w:rPr>
          <w:rFonts w:hint="eastAsia" w:ascii="仿宋_GB2312" w:hAnsi="Calibri"/>
          <w:kern w:val="2"/>
          <w:sz w:val="21"/>
          <w:szCs w:val="21"/>
          <w:shd w:val="clear" w:color="auto" w:fill="FFFFFF"/>
        </w:rPr>
        <w:t>的教学计划</w:t>
      </w:r>
      <w:r>
        <w:rPr>
          <w:rFonts w:ascii="仿宋_GB2312" w:hAnsi="Calibri"/>
          <w:kern w:val="2"/>
          <w:sz w:val="21"/>
          <w:szCs w:val="21"/>
          <w:shd w:val="clear" w:color="auto" w:fill="FFFFFF"/>
        </w:rPr>
        <w:t>与主修专业</w:t>
      </w:r>
      <w:r>
        <w:rPr>
          <w:rFonts w:hint="eastAsia" w:ascii="仿宋_GB2312" w:hAnsi="Calibri"/>
          <w:kern w:val="2"/>
          <w:sz w:val="21"/>
          <w:szCs w:val="21"/>
          <w:shd w:val="clear" w:color="auto" w:fill="FFFFFF"/>
        </w:rPr>
        <w:t>教学计划中有相同课程</w:t>
      </w:r>
      <w:r>
        <w:rPr>
          <w:rFonts w:ascii="仿宋_GB2312" w:hAnsi="Calibri"/>
          <w:kern w:val="2"/>
          <w:sz w:val="21"/>
          <w:szCs w:val="21"/>
          <w:shd w:val="clear" w:color="auto" w:fill="FFFFFF"/>
        </w:rPr>
        <w:t>，</w:t>
      </w:r>
      <w:r>
        <w:rPr>
          <w:rFonts w:hint="eastAsia" w:ascii="仿宋_GB2312" w:hAnsi="Calibri"/>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pPr>
        <w:widowControl w:val="0"/>
        <w:shd w:val="solid" w:color="FFFFFF" w:fill="auto"/>
        <w:autoSpaceDN w:val="0"/>
        <w:snapToGrid w:val="0"/>
        <w:spacing w:line="300" w:lineRule="exact"/>
        <w:ind w:firstLine="420" w:firstLineChars="200"/>
        <w:jc w:val="both"/>
        <w:rPr>
          <w:kern w:val="2"/>
          <w:sz w:val="21"/>
          <w:szCs w:val="21"/>
          <w:shd w:val="clear" w:color="auto" w:fill="FFFFFF"/>
        </w:rPr>
      </w:pPr>
      <w:r>
        <w:rPr>
          <w:rFonts w:hint="eastAsia" w:ascii="宋体" w:hAnsi="宋体"/>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在主修专业规定的学习年限内，获得主修专业的学士学位资格；其次</w:t>
      </w:r>
      <w:r>
        <w:rPr>
          <w:rFonts w:hint="eastAsia" w:ascii="宋体" w:hAnsi="宋体" w:cs="宋体"/>
          <w:kern w:val="2"/>
          <w:sz w:val="21"/>
          <w:szCs w:val="21"/>
        </w:rPr>
        <w:t>获得辅修学士学位教学计划规定的全部学分以及通过规定的必修环节，且所修辅修学士学位教学计划课程的平均学分绩点≥</w:t>
      </w:r>
      <w:r>
        <w:rPr>
          <w:rFonts w:ascii="宋体" w:hAnsi="宋体" w:cs="宋体"/>
          <w:kern w:val="2"/>
          <w:sz w:val="21"/>
          <w:szCs w:val="21"/>
        </w:rPr>
        <w:t>2.0</w:t>
      </w:r>
      <w:r>
        <w:rPr>
          <w:rFonts w:hint="eastAsia" w:ascii="宋体" w:hAnsi="宋体" w:cs="宋体"/>
          <w:kern w:val="2"/>
          <w:sz w:val="21"/>
          <w:szCs w:val="21"/>
        </w:rPr>
        <w:t>（平均学分绩点计算方法见《东南大学学分制管理办法》），</w:t>
      </w:r>
      <w:r>
        <w:rPr>
          <w:rFonts w:hint="eastAsia"/>
          <w:kern w:val="2"/>
          <w:sz w:val="21"/>
          <w:szCs w:val="21"/>
          <w:shd w:val="clear" w:color="auto" w:fill="FFFFFF"/>
        </w:rPr>
        <w:t>授予东南大学辅修学士学位。若不满足东南大学辅修学士学位授予条件，可根据获得的辅修课程学分申请辅修专业证书。</w:t>
      </w:r>
    </w:p>
    <w:p>
      <w:pPr>
        <w:widowControl w:val="0"/>
        <w:shd w:val="solid" w:color="FFFFFF" w:fill="auto"/>
        <w:autoSpaceDN w:val="0"/>
        <w:snapToGrid w:val="0"/>
        <w:spacing w:line="300" w:lineRule="exact"/>
        <w:ind w:firstLine="420" w:firstLineChars="200"/>
        <w:jc w:val="both"/>
        <w:rPr>
          <w:rFonts w:ascii="仿宋_GB2312"/>
          <w:kern w:val="2"/>
          <w:sz w:val="21"/>
          <w:szCs w:val="21"/>
          <w:shd w:val="clear" w:color="auto" w:fill="FFFFFF"/>
        </w:rPr>
      </w:pPr>
      <w:r>
        <w:rPr>
          <w:rFonts w:ascii="仿宋_GB2312"/>
          <w:kern w:val="2"/>
          <w:sz w:val="21"/>
          <w:szCs w:val="21"/>
          <w:shd w:val="clear" w:color="auto" w:fill="FFFFFF"/>
        </w:rPr>
        <w:t>辅修</w:t>
      </w:r>
      <w:r>
        <w:rPr>
          <w:rFonts w:hint="eastAsia" w:ascii="仿宋_GB2312"/>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hint="eastAsia" w:ascii="宋体" w:hAnsi="宋体" w:cs="宋体"/>
          <w:kern w:val="2"/>
          <w:sz w:val="21"/>
          <w:szCs w:val="21"/>
        </w:rPr>
        <w:t>负责对学生</w:t>
      </w:r>
      <w:r>
        <w:rPr>
          <w:rFonts w:hint="eastAsia"/>
          <w:kern w:val="2"/>
          <w:sz w:val="21"/>
          <w:szCs w:val="21"/>
          <w:shd w:val="clear" w:color="auto" w:fill="FFFFFF"/>
        </w:rPr>
        <w:t>辅修学士学位资格的申报和审查工作，初审通过的名单报送教务处，经教务处汇总审核</w:t>
      </w:r>
      <w:r>
        <w:rPr>
          <w:rFonts w:hint="eastAsia" w:ascii="宋体" w:hAnsi="宋体" w:cs="宋体"/>
          <w:kern w:val="2"/>
          <w:sz w:val="21"/>
          <w:szCs w:val="21"/>
        </w:rPr>
        <w:t>后报</w:t>
      </w:r>
      <w:r>
        <w:rPr>
          <w:rFonts w:ascii="仿宋_GB2312"/>
          <w:kern w:val="2"/>
          <w:sz w:val="21"/>
          <w:szCs w:val="21"/>
          <w:shd w:val="clear" w:color="auto" w:fill="FFFFFF"/>
        </w:rPr>
        <w:t>校学位</w:t>
      </w:r>
      <w:r>
        <w:rPr>
          <w:rFonts w:hint="eastAsia" w:ascii="仿宋_GB2312"/>
          <w:kern w:val="2"/>
          <w:sz w:val="21"/>
          <w:szCs w:val="21"/>
          <w:shd w:val="clear" w:color="auto" w:fill="FFFFFF"/>
        </w:rPr>
        <w:t>评</w:t>
      </w:r>
      <w:r>
        <w:rPr>
          <w:rFonts w:ascii="仿宋_GB2312"/>
          <w:kern w:val="2"/>
          <w:sz w:val="21"/>
          <w:szCs w:val="21"/>
          <w:shd w:val="clear" w:color="auto" w:fill="FFFFFF"/>
        </w:rPr>
        <w:t>定委员会审</w:t>
      </w:r>
      <w:r>
        <w:rPr>
          <w:rFonts w:hint="eastAsia" w:ascii="仿宋_GB2312"/>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hint="eastAsia" w:ascii="仿宋_GB2312"/>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hint="eastAsia" w:ascii="仿宋_GB2312"/>
          <w:kern w:val="2"/>
          <w:sz w:val="21"/>
          <w:szCs w:val="21"/>
          <w:shd w:val="clear" w:color="auto" w:fill="FFFFFF"/>
        </w:rPr>
        <w:t>学士学位</w:t>
      </w:r>
      <w:r>
        <w:rPr>
          <w:rFonts w:hint="eastAsia"/>
          <w:kern w:val="2"/>
          <w:sz w:val="21"/>
          <w:szCs w:val="21"/>
          <w:shd w:val="clear" w:color="auto" w:fill="FFFFFF"/>
        </w:rPr>
        <w:t>证书的电子注册按教育部和江苏省教育厅要求进行。</w:t>
      </w:r>
    </w:p>
    <w:p>
      <w:pPr>
        <w:widowControl w:val="0"/>
        <w:spacing w:line="300" w:lineRule="exact"/>
        <w:ind w:firstLine="103" w:firstLineChars="49"/>
        <w:jc w:val="both"/>
        <w:rPr>
          <w:rFonts w:ascii="宋体" w:hAnsi="宋体" w:cs="STSongStd-Light"/>
          <w:b/>
          <w:bCs/>
          <w:kern w:val="2"/>
          <w:sz w:val="21"/>
          <w:szCs w:val="21"/>
        </w:rPr>
      </w:pPr>
    </w:p>
    <w:p/>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61EEA"/>
    <w:multiLevelType w:val="multilevel"/>
    <w:tmpl w:val="51961EEA"/>
    <w:lvl w:ilvl="0" w:tentative="0">
      <w:start w:val="1"/>
      <w:numFmt w:val="decimal"/>
      <w:lvlText w:val="%1."/>
      <w:lvlJc w:val="left"/>
      <w:pPr>
        <w:ind w:left="779" w:hanging="360"/>
      </w:pPr>
      <w:rPr>
        <w:rFonts w:hint="default"/>
      </w:rPr>
    </w:lvl>
    <w:lvl w:ilvl="1" w:tentative="0">
      <w:start w:val="1"/>
      <w:numFmt w:val="lowerLetter"/>
      <w:lvlText w:val="%2)"/>
      <w:lvlJc w:val="left"/>
      <w:pPr>
        <w:ind w:left="1259" w:hanging="420"/>
      </w:pPr>
    </w:lvl>
    <w:lvl w:ilvl="2" w:tentative="0">
      <w:start w:val="1"/>
      <w:numFmt w:val="lowerRoman"/>
      <w:lvlText w:val="%3."/>
      <w:lvlJc w:val="right"/>
      <w:pPr>
        <w:ind w:left="1679" w:hanging="420"/>
      </w:pPr>
    </w:lvl>
    <w:lvl w:ilvl="3" w:tentative="0">
      <w:start w:val="1"/>
      <w:numFmt w:val="decimal"/>
      <w:lvlText w:val="%4."/>
      <w:lvlJc w:val="left"/>
      <w:pPr>
        <w:ind w:left="2099" w:hanging="420"/>
      </w:pPr>
    </w:lvl>
    <w:lvl w:ilvl="4" w:tentative="0">
      <w:start w:val="1"/>
      <w:numFmt w:val="lowerLetter"/>
      <w:lvlText w:val="%5)"/>
      <w:lvlJc w:val="left"/>
      <w:pPr>
        <w:ind w:left="2519" w:hanging="420"/>
      </w:pPr>
    </w:lvl>
    <w:lvl w:ilvl="5" w:tentative="0">
      <w:start w:val="1"/>
      <w:numFmt w:val="lowerRoman"/>
      <w:lvlText w:val="%6."/>
      <w:lvlJc w:val="right"/>
      <w:pPr>
        <w:ind w:left="2939" w:hanging="420"/>
      </w:pPr>
    </w:lvl>
    <w:lvl w:ilvl="6" w:tentative="0">
      <w:start w:val="1"/>
      <w:numFmt w:val="decimal"/>
      <w:lvlText w:val="%7."/>
      <w:lvlJc w:val="left"/>
      <w:pPr>
        <w:ind w:left="3359" w:hanging="420"/>
      </w:pPr>
    </w:lvl>
    <w:lvl w:ilvl="7" w:tentative="0">
      <w:start w:val="1"/>
      <w:numFmt w:val="lowerLetter"/>
      <w:lvlText w:val="%8)"/>
      <w:lvlJc w:val="left"/>
      <w:pPr>
        <w:ind w:left="3779" w:hanging="420"/>
      </w:pPr>
    </w:lvl>
    <w:lvl w:ilvl="8" w:tentative="0">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ZGIxM2VkZGVmNTI1NzYzNzBiZGQxOGFhOTZlN2EifQ=="/>
  </w:docVars>
  <w:rsids>
    <w:rsidRoot w:val="00534720"/>
    <w:rsid w:val="000267D6"/>
    <w:rsid w:val="00125E2B"/>
    <w:rsid w:val="00141364"/>
    <w:rsid w:val="0016338B"/>
    <w:rsid w:val="00170581"/>
    <w:rsid w:val="00194B97"/>
    <w:rsid w:val="00243346"/>
    <w:rsid w:val="0025690E"/>
    <w:rsid w:val="00310649"/>
    <w:rsid w:val="0031359E"/>
    <w:rsid w:val="0036424F"/>
    <w:rsid w:val="003872DD"/>
    <w:rsid w:val="003A33CB"/>
    <w:rsid w:val="003C64E5"/>
    <w:rsid w:val="004624B4"/>
    <w:rsid w:val="004A6402"/>
    <w:rsid w:val="004C5952"/>
    <w:rsid w:val="005256E4"/>
    <w:rsid w:val="00534720"/>
    <w:rsid w:val="00570163"/>
    <w:rsid w:val="0059309B"/>
    <w:rsid w:val="005D5ECD"/>
    <w:rsid w:val="00617754"/>
    <w:rsid w:val="006A0D72"/>
    <w:rsid w:val="006A3187"/>
    <w:rsid w:val="007911F0"/>
    <w:rsid w:val="007A02DC"/>
    <w:rsid w:val="007A1AF0"/>
    <w:rsid w:val="007D33BF"/>
    <w:rsid w:val="00832E0E"/>
    <w:rsid w:val="00856524"/>
    <w:rsid w:val="00862E63"/>
    <w:rsid w:val="008747F3"/>
    <w:rsid w:val="00891336"/>
    <w:rsid w:val="008B50D3"/>
    <w:rsid w:val="008F5D7A"/>
    <w:rsid w:val="009351B0"/>
    <w:rsid w:val="00962F55"/>
    <w:rsid w:val="009A1019"/>
    <w:rsid w:val="00A15091"/>
    <w:rsid w:val="00A35E66"/>
    <w:rsid w:val="00A41B2E"/>
    <w:rsid w:val="00A817FC"/>
    <w:rsid w:val="00A9100C"/>
    <w:rsid w:val="00AA67C1"/>
    <w:rsid w:val="00AB23C8"/>
    <w:rsid w:val="00AE3D09"/>
    <w:rsid w:val="00B55FE9"/>
    <w:rsid w:val="00C04BA0"/>
    <w:rsid w:val="00C27FD0"/>
    <w:rsid w:val="00C62202"/>
    <w:rsid w:val="00C80F29"/>
    <w:rsid w:val="00C93700"/>
    <w:rsid w:val="00DB5467"/>
    <w:rsid w:val="00DE2B3C"/>
    <w:rsid w:val="00DE7ECD"/>
    <w:rsid w:val="00F757BC"/>
    <w:rsid w:val="00F9080D"/>
    <w:rsid w:val="00F95224"/>
    <w:rsid w:val="00FD4F55"/>
    <w:rsid w:val="03E36198"/>
    <w:rsid w:val="0B0B1A58"/>
    <w:rsid w:val="124473D0"/>
    <w:rsid w:val="139D63D3"/>
    <w:rsid w:val="1D4B3AAF"/>
    <w:rsid w:val="1FE30229"/>
    <w:rsid w:val="29AB2C34"/>
    <w:rsid w:val="2D761A83"/>
    <w:rsid w:val="2FC040E2"/>
    <w:rsid w:val="3A267238"/>
    <w:rsid w:val="3F6A7BC7"/>
    <w:rsid w:val="40B82BB4"/>
    <w:rsid w:val="432D1637"/>
    <w:rsid w:val="43F263DD"/>
    <w:rsid w:val="44777411"/>
    <w:rsid w:val="47147ED1"/>
    <w:rsid w:val="4A3E412A"/>
    <w:rsid w:val="4C392DFB"/>
    <w:rsid w:val="5A61633E"/>
    <w:rsid w:val="606C3347"/>
    <w:rsid w:val="63D74F7B"/>
    <w:rsid w:val="6C6B0957"/>
    <w:rsid w:val="6E9F6FDD"/>
    <w:rsid w:val="72C139C6"/>
    <w:rsid w:val="7419513C"/>
    <w:rsid w:val="77DE0AA7"/>
    <w:rsid w:val="7C75312C"/>
    <w:rsid w:val="7DA35C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kern w:val="0"/>
      <w:sz w:val="18"/>
      <w:szCs w:val="18"/>
    </w:rPr>
  </w:style>
  <w:style w:type="character" w:customStyle="1" w:styleId="8">
    <w:name w:val="页脚 字符"/>
    <w:basedOn w:val="6"/>
    <w:link w:val="3"/>
    <w:qFormat/>
    <w:uiPriority w:val="99"/>
    <w:rPr>
      <w:rFonts w:ascii="Times New Roman" w:hAnsi="Times New Roman" w:eastAsia="宋体" w:cs="Times New Roman"/>
      <w:kern w:val="0"/>
      <w:sz w:val="18"/>
      <w:szCs w:val="18"/>
    </w:rPr>
  </w:style>
  <w:style w:type="character" w:customStyle="1" w:styleId="9">
    <w:name w:val="批注框文本 字符"/>
    <w:basedOn w:val="6"/>
    <w:link w:val="2"/>
    <w:semiHidden/>
    <w:qFormat/>
    <w:uiPriority w:val="99"/>
    <w:rPr>
      <w:rFonts w:ascii="Times New Roman" w:hAnsi="Times New Roman" w:eastAsia="宋体" w:cs="Times New Roman"/>
      <w:kern w:val="0"/>
      <w:sz w:val="18"/>
      <w:szCs w:val="18"/>
    </w:rPr>
  </w:style>
  <w:style w:type="paragraph" w:styleId="10">
    <w:name w:val="List Paragraph"/>
    <w:basedOn w:val="1"/>
    <w:qFormat/>
    <w:uiPriority w:val="99"/>
    <w:pPr>
      <w:widowControl w:val="0"/>
      <w:ind w:firstLine="420" w:firstLineChars="200"/>
      <w:jc w:val="both"/>
    </w:pPr>
    <w:rPr>
      <w:rFonts w:asciiTheme="minorHAnsi" w:hAnsiTheme="minorHAnsi" w:eastAsiaTheme="minorEastAsia" w:cstheme="minorBidi"/>
      <w:kern w:val="2"/>
      <w:sz w:val="21"/>
      <w:szCs w:val="22"/>
    </w:rPr>
  </w:style>
  <w:style w:type="paragraph" w:customStyle="1" w:styleId="11">
    <w:name w:val="_Style 1"/>
    <w:basedOn w:val="1"/>
    <w:qFormat/>
    <w:uiPriority w:val="99"/>
    <w:pPr>
      <w:widowControl w:val="0"/>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2160</Words>
  <Characters>2517</Characters>
  <Lines>23</Lines>
  <Paragraphs>6</Paragraphs>
  <TotalTime>5</TotalTime>
  <ScaleCrop>false</ScaleCrop>
  <LinksUpToDate>false</LinksUpToDate>
  <CharactersWithSpaces>2550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2020-09-02T07:54:00Z</dcterms:created>
  <dc:creator>huijie qiao</dc:creator>
  <cp:lastModifiedBy>魏婉梦</cp:lastModifiedBy>
  <cp:lastPrinted>2022-06-21T08:11:00Z</cp:lastPrinted>
  <dcterms:modified xsi:type="dcterms:W3CDTF">2023-08-18T06:05:24Z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30AB633514DD492B953D2E6E25C1CEAB</vt:lpwstr>
  </property>
</Properties>
</file>