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B2" w:rsidRDefault="001F0BFF" w:rsidP="00BC6B87">
      <w:pPr>
        <w:widowControl/>
        <w:spacing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FB3E4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4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FB3E4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5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</w:t>
      </w:r>
      <w:r w:rsidR="00F03CB2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（</w:t>
      </w:r>
      <w:r w:rsidR="00796611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2020、2021、</w:t>
      </w:r>
      <w:r w:rsidR="00FB3E4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级）</w:t>
      </w:r>
    </w:p>
    <w:p w:rsidR="00F03CB2" w:rsidRDefault="00BE2FF7" w:rsidP="00F03CB2">
      <w:pPr>
        <w:rPr>
          <w:b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材料科学与工程学</w:t>
      </w:r>
      <w:r w:rsidR="00F03CB2" w:rsidRPr="00BE2FF7">
        <w:rPr>
          <w:rFonts w:hint="eastAsia"/>
          <w:b/>
          <w:kern w:val="0"/>
          <w:sz w:val="28"/>
          <w:szCs w:val="28"/>
        </w:rPr>
        <w:t>院</w:t>
      </w:r>
    </w:p>
    <w:p w:rsidR="00F03CB2" w:rsidRDefault="00F03CB2" w:rsidP="00BC6B87">
      <w:pPr>
        <w:spacing w:line="320" w:lineRule="exact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796611" w:rsidRDefault="00796611" w:rsidP="00796611">
      <w:pPr>
        <w:pStyle w:val="a3"/>
        <w:spacing w:line="320" w:lineRule="exact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796611" w:rsidRDefault="00796611" w:rsidP="00796611">
      <w:pPr>
        <w:pStyle w:val="a3"/>
        <w:spacing w:line="320" w:lineRule="exact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2021、2022</w:t>
      </w:r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、2023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Pr="00BE2FF7">
        <w:rPr>
          <w:rFonts w:ascii="宋体" w:hAnsi="宋体" w:cs="Tahoma" w:hint="eastAsia"/>
          <w:bCs/>
          <w:color w:val="000000"/>
          <w:kern w:val="0"/>
          <w:sz w:val="24"/>
          <w:szCs w:val="24"/>
        </w:rPr>
        <w:t>材料科学与工程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796611" w:rsidRPr="0063344F" w:rsidRDefault="00796611" w:rsidP="0063344F">
      <w:pPr>
        <w:pStyle w:val="a3"/>
        <w:spacing w:line="320" w:lineRule="exact"/>
        <w:ind w:firstLineChars="199" w:firstLine="478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开设专业：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842"/>
        <w:gridCol w:w="4536"/>
      </w:tblGrid>
      <w:tr w:rsidR="00796611" w:rsidRPr="00796611" w:rsidTr="00796611">
        <w:tc>
          <w:tcPr>
            <w:tcW w:w="2341" w:type="dxa"/>
          </w:tcPr>
          <w:p w:rsidR="00796611" w:rsidRPr="00796611" w:rsidRDefault="00796611" w:rsidP="00F52D68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开设学院</w:t>
            </w:r>
          </w:p>
        </w:tc>
        <w:tc>
          <w:tcPr>
            <w:tcW w:w="1842" w:type="dxa"/>
          </w:tcPr>
          <w:p w:rsidR="00796611" w:rsidRPr="00796611" w:rsidRDefault="00796611" w:rsidP="00F52D68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辅修专业</w:t>
            </w:r>
            <w:r w:rsidRPr="0079661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536" w:type="dxa"/>
          </w:tcPr>
          <w:p w:rsidR="00796611" w:rsidRPr="00796611" w:rsidRDefault="00796611" w:rsidP="00F52D68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总学分</w:t>
            </w:r>
          </w:p>
        </w:tc>
      </w:tr>
      <w:tr w:rsidR="00796611" w:rsidRPr="00796611" w:rsidTr="00796611">
        <w:tc>
          <w:tcPr>
            <w:tcW w:w="2341" w:type="dxa"/>
          </w:tcPr>
          <w:p w:rsidR="00796611" w:rsidRPr="00796611" w:rsidRDefault="00796611" w:rsidP="00F52D68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Tahoma" w:hint="eastAsia"/>
                <w:bCs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842" w:type="dxa"/>
          </w:tcPr>
          <w:p w:rsidR="00796611" w:rsidRPr="00796611" w:rsidRDefault="00796611" w:rsidP="00F52D68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Tahoma" w:hint="eastAsia"/>
                <w:bCs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4536" w:type="dxa"/>
          </w:tcPr>
          <w:p w:rsidR="00796611" w:rsidRPr="00796611" w:rsidRDefault="00796611" w:rsidP="00F52D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2021、2022级：</w:t>
            </w:r>
            <w:r w:rsidRPr="00796611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8分（专业）</w:t>
            </w:r>
            <w:r w:rsidRPr="00796611">
              <w:rPr>
                <w:rFonts w:ascii="宋体" w:hAnsi="宋体" w:cs="宋体"/>
                <w:color w:val="000000"/>
                <w:kern w:val="0"/>
                <w:szCs w:val="21"/>
              </w:rPr>
              <w:t>/5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5分（学位）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796611" w:rsidRPr="00796611" w:rsidRDefault="00796611" w:rsidP="00F52D68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2023级：</w:t>
            </w:r>
            <w:r w:rsidRPr="00796611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8分（专业）</w:t>
            </w:r>
            <w:r w:rsidRPr="00796611">
              <w:rPr>
                <w:rFonts w:ascii="宋体" w:hAnsi="宋体" w:cs="宋体"/>
                <w:color w:val="000000"/>
                <w:kern w:val="0"/>
                <w:szCs w:val="21"/>
              </w:rPr>
              <w:t>/5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4.5分（学位）</w:t>
            </w:r>
            <w:r w:rsidRPr="0079661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796611" w:rsidRDefault="00796611" w:rsidP="0063344F">
      <w:pPr>
        <w:pStyle w:val="a3"/>
        <w:spacing w:line="320" w:lineRule="exact"/>
        <w:ind w:firstLineChars="199" w:firstLine="478"/>
        <w:rPr>
          <w:rFonts w:cs="宋体"/>
          <w:b/>
          <w:sz w:val="24"/>
          <w:szCs w:val="24"/>
        </w:rPr>
      </w:pPr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2021、2022级</w:t>
      </w:r>
      <w:proofErr w:type="gramStart"/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学分绩点要求</w:t>
      </w:r>
      <w:proofErr w:type="gramEnd"/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p w:rsidR="00796611" w:rsidRDefault="00796611" w:rsidP="00796611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796611" w:rsidRDefault="00796611" w:rsidP="00796611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796611" w:rsidRDefault="00796611" w:rsidP="00796611">
      <w:pPr>
        <w:spacing w:line="320" w:lineRule="exact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</w:t>
      </w:r>
      <w:r w:rsidRPr="00B36D30">
        <w:rPr>
          <w:rFonts w:ascii="宋体" w:hAnsi="宋体" w:hint="eastAsia"/>
          <w:color w:val="000000" w:themeColor="text1"/>
          <w:sz w:val="22"/>
        </w:rPr>
        <w:t>28</w:t>
      </w:r>
      <w:r>
        <w:rPr>
          <w:rFonts w:ascii="宋体" w:hAnsi="宋体" w:hint="eastAsia"/>
          <w:sz w:val="22"/>
        </w:rPr>
        <w:t>学分，可获得辅修专业证书。</w:t>
      </w:r>
    </w:p>
    <w:p w:rsidR="00FB3E4E" w:rsidRPr="0063344F" w:rsidRDefault="00FB3E4E" w:rsidP="0063344F">
      <w:pPr>
        <w:pStyle w:val="a3"/>
        <w:spacing w:line="320" w:lineRule="exact"/>
        <w:ind w:firstLineChars="199" w:firstLine="478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2023级</w:t>
      </w:r>
      <w:proofErr w:type="gramStart"/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学分绩点要求</w:t>
      </w:r>
      <w:proofErr w:type="gramEnd"/>
      <w:r w:rsidRPr="0063344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p w:rsidR="00FB3E4E" w:rsidRDefault="00FB3E4E" w:rsidP="00FB3E4E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B3E4E" w:rsidRDefault="00FB3E4E" w:rsidP="00FB3E4E">
      <w:pPr>
        <w:spacing w:line="320" w:lineRule="exac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学分要求54.5学分，且平均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B3E4E" w:rsidRDefault="00FB3E4E" w:rsidP="00FB3E4E">
      <w:pPr>
        <w:spacing w:line="320" w:lineRule="exact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</w:t>
      </w:r>
      <w:r w:rsidRPr="00B36D30">
        <w:rPr>
          <w:rFonts w:ascii="宋体" w:hAnsi="宋体" w:hint="eastAsia"/>
          <w:color w:val="000000" w:themeColor="text1"/>
          <w:sz w:val="22"/>
        </w:rPr>
        <w:t>28</w:t>
      </w:r>
      <w:r>
        <w:rPr>
          <w:rFonts w:ascii="宋体" w:hAnsi="宋体" w:hint="eastAsia"/>
          <w:sz w:val="22"/>
        </w:rPr>
        <w:t>学分，可获得辅修专业证书。</w:t>
      </w:r>
    </w:p>
    <w:p w:rsidR="00FB3E4E" w:rsidRPr="00FB3E4E" w:rsidRDefault="00FB3E4E" w:rsidP="00BC6B87">
      <w:pPr>
        <w:spacing w:line="320" w:lineRule="exact"/>
        <w:rPr>
          <w:sz w:val="22"/>
        </w:rPr>
      </w:pPr>
    </w:p>
    <w:p w:rsidR="00F03CB2" w:rsidRDefault="00F03CB2" w:rsidP="00D33373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F03CB2" w:rsidRDefault="00F03CB2" w:rsidP="00BC6B87">
      <w:pPr>
        <w:pStyle w:val="a3"/>
        <w:widowControl/>
        <w:spacing w:line="320" w:lineRule="exact"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796611" w:rsidRDefault="00F03CB2" w:rsidP="00796611">
      <w:pPr>
        <w:pStyle w:val="Style1"/>
        <w:widowControl/>
        <w:spacing w:line="320" w:lineRule="exact"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3C7DC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3C7DC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1F0BF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</w:t>
      </w:r>
      <w:r w:rsidR="0079661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面向</w:t>
      </w:r>
      <w:r w:rsidR="00796611" w:rsidRPr="0063344F">
        <w:rPr>
          <w:rFonts w:ascii="宋体" w:eastAsiaTheme="minorEastAsia" w:hAnsi="宋体" w:cs="宋体" w:hint="eastAsia"/>
          <w:bCs/>
          <w:color w:val="000000"/>
          <w:kern w:val="0"/>
          <w:sz w:val="24"/>
          <w:szCs w:val="24"/>
        </w:rPr>
        <w:t>2021、2022</w:t>
      </w:r>
      <w:r w:rsidR="00796611" w:rsidRPr="0063344F">
        <w:rPr>
          <w:rFonts w:ascii="宋体" w:eastAsiaTheme="minorEastAsia" w:hAnsi="宋体" w:cs="宋体" w:hint="eastAsia"/>
          <w:bCs/>
          <w:color w:val="000000"/>
          <w:kern w:val="0"/>
          <w:sz w:val="24"/>
          <w:szCs w:val="24"/>
        </w:rPr>
        <w:t>、2023</w:t>
      </w:r>
      <w:r w:rsidR="0079661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级，开设课程如下：</w:t>
      </w:r>
    </w:p>
    <w:p w:rsidR="0063344F" w:rsidRDefault="0063344F" w:rsidP="0063344F">
      <w:pPr>
        <w:pStyle w:val="a3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3344F" w:rsidTr="005A0D9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辅修课程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63344F" w:rsidTr="005A0D90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材料科学基础实验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</w:tr>
    </w:tbl>
    <w:p w:rsidR="0063344F" w:rsidRDefault="0063344F" w:rsidP="00F03CB2">
      <w:pPr>
        <w:pStyle w:val="a3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</w:p>
    <w:p w:rsidR="00F03CB2" w:rsidRDefault="003C7DC9" w:rsidP="00F03CB2">
      <w:pPr>
        <w:pStyle w:val="a3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3344F" w:rsidTr="005A0D9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辅修课程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63344F" w:rsidTr="005A0D9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实验室安全与准入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63344F" w:rsidTr="005A0D9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材料科学基础</w:t>
            </w: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(</w:t>
            </w: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上</w:t>
            </w: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物理化学</w:t>
            </w: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(D)(</w:t>
            </w: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上</w:t>
            </w: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3344F" w:rsidTr="005A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固体物理基础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基础传输原理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高分子化学与物理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材料分析技术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3344F" w:rsidTr="005A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44F" w:rsidRPr="005A0D90" w:rsidRDefault="0063344F" w:rsidP="005A0D90">
            <w:pPr>
              <w:pStyle w:val="Style1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5A0D90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B220C" w:rsidRDefault="00FB220C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 w:rsidRPr="001F0BF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FB220C" w:rsidRPr="001F0BFF" w:rsidRDefault="00FB220C" w:rsidP="00F03CB2">
      <w:pPr>
        <w:pStyle w:val="a3"/>
        <w:widowControl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F962C1" w:rsidRPr="00FB3E4E" w:rsidRDefault="00F03CB2" w:rsidP="00FB3E4E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F57E5B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跟班期末统一考核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FB3E4E">
        <w:rPr>
          <w:szCs w:val="21"/>
        </w:rPr>
        <w:t xml:space="preserve"> </w:t>
      </w:r>
    </w:p>
    <w:p w:rsidR="00F962C1" w:rsidRDefault="00F962C1" w:rsidP="00F962C1">
      <w:pPr>
        <w:rPr>
          <w:rFonts w:hint="eastAsia"/>
          <w:szCs w:val="21"/>
        </w:rPr>
      </w:pPr>
    </w:p>
    <w:p w:rsidR="00FB3E4E" w:rsidRDefault="00FB3E4E" w:rsidP="00FB3E4E">
      <w:pPr>
        <w:pStyle w:val="a3"/>
        <w:widowControl/>
        <w:ind w:firstLineChars="0" w:firstLine="0"/>
        <w:jc w:val="left"/>
        <w:rPr>
          <w:rFonts w:hint="eastAsia"/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附：</w:t>
      </w:r>
      <w:r>
        <w:rPr>
          <w:rFonts w:hint="eastAsia"/>
          <w:sz w:val="22"/>
        </w:rPr>
        <w:t>2023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tbl>
      <w:tblPr>
        <w:tblW w:w="8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</w:tblGrid>
      <w:tr w:rsidR="003C7DC9" w:rsidTr="00FB220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B05M0170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工程力学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实验室安全与准入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B1200560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材料科学基础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B19M0120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物理化学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(D)(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B1200570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材料科学基础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下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B1605570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电工电子技术基础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B19M0130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物理化学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(D)(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下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B1201481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材料科学基础实验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B1200110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固体物理基础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500EFB"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B1200150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基础传输原理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500EFB"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ED1D4A"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高分子化学与物理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500EFB"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ED1D4A"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材料分析技术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500EFB"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ED1D4A"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B1201010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材料力学性能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500EFB"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ED1D4A">
              <w:rPr>
                <w:rFonts w:ascii="宋体" w:eastAsia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材料物理性能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B1200551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材料分析实验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4D0DBA"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B1201020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材料工程测试技术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4D0DBA"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B1201030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计算材料学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4D0DBA"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FB220C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B1221010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薄膜技术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双语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,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jc w:val="center"/>
            </w:pPr>
            <w:r w:rsidRPr="004D0DBA"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220C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B1200400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FB220C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</w:tr>
      <w:tr w:rsidR="003C7DC9" w:rsidTr="00FB2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54.5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DC9" w:rsidRDefault="003C7DC9" w:rsidP="00FB2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3E4E" w:rsidRDefault="00FB3E4E" w:rsidP="00FB3E4E">
      <w:pPr>
        <w:spacing w:line="300" w:lineRule="auto"/>
        <w:rPr>
          <w:rFonts w:ascii="宋体" w:hAnsi="宋体"/>
          <w:sz w:val="22"/>
        </w:rPr>
      </w:pPr>
    </w:p>
    <w:p w:rsidR="00FB3E4E" w:rsidRDefault="00FB3E4E" w:rsidP="00FB3E4E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B3E4E" w:rsidRDefault="00FB3E4E" w:rsidP="00FB3E4E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FB220C">
        <w:rPr>
          <w:rFonts w:ascii="宋体" w:hAnsi="宋体" w:hint="eastAsia"/>
          <w:sz w:val="22"/>
        </w:rPr>
        <w:t>4.5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B3E4E" w:rsidRDefault="00FB3E4E" w:rsidP="00FB3E4E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课程（不含毕业论文）达到28学分，可获得辅修专业证书。</w:t>
      </w:r>
    </w:p>
    <w:p w:rsidR="00FB3E4E" w:rsidRPr="00FB3E4E" w:rsidRDefault="00FB3E4E" w:rsidP="00F962C1">
      <w:pPr>
        <w:rPr>
          <w:szCs w:val="21"/>
        </w:rPr>
      </w:pPr>
    </w:p>
    <w:sectPr w:rsidR="00FB3E4E" w:rsidRPr="00FB3E4E" w:rsidSect="00E5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A9" w:rsidRDefault="00AB51A9" w:rsidP="00BE2FF7">
      <w:r>
        <w:separator/>
      </w:r>
    </w:p>
  </w:endnote>
  <w:endnote w:type="continuationSeparator" w:id="0">
    <w:p w:rsidR="00AB51A9" w:rsidRDefault="00AB51A9" w:rsidP="00BE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A9" w:rsidRDefault="00AB51A9" w:rsidP="00BE2FF7">
      <w:r>
        <w:separator/>
      </w:r>
    </w:p>
  </w:footnote>
  <w:footnote w:type="continuationSeparator" w:id="0">
    <w:p w:rsidR="00AB51A9" w:rsidRDefault="00AB51A9" w:rsidP="00BE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A3C"/>
    <w:multiLevelType w:val="hybridMultilevel"/>
    <w:tmpl w:val="7D6AE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CD3F23"/>
    <w:multiLevelType w:val="multilevel"/>
    <w:tmpl w:val="26CD3F23"/>
    <w:lvl w:ilvl="0">
      <w:start w:val="1"/>
      <w:numFmt w:val="decimal"/>
      <w:lvlText w:val="%1)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25B16B6"/>
    <w:multiLevelType w:val="hybridMultilevel"/>
    <w:tmpl w:val="00E22ADC"/>
    <w:lvl w:ilvl="0" w:tplc="85544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74"/>
    <w:rsid w:val="00004BDF"/>
    <w:rsid w:val="00066D02"/>
    <w:rsid w:val="00156209"/>
    <w:rsid w:val="0017342F"/>
    <w:rsid w:val="001B5D0A"/>
    <w:rsid w:val="001F0BFF"/>
    <w:rsid w:val="00200FB6"/>
    <w:rsid w:val="002265AA"/>
    <w:rsid w:val="002311BB"/>
    <w:rsid w:val="0027715F"/>
    <w:rsid w:val="002867E2"/>
    <w:rsid w:val="002961D5"/>
    <w:rsid w:val="003A4977"/>
    <w:rsid w:val="003C7DC9"/>
    <w:rsid w:val="0044429B"/>
    <w:rsid w:val="00461B3A"/>
    <w:rsid w:val="004A065D"/>
    <w:rsid w:val="004D33E0"/>
    <w:rsid w:val="004F7D0A"/>
    <w:rsid w:val="005473DD"/>
    <w:rsid w:val="00547BA8"/>
    <w:rsid w:val="005A0D90"/>
    <w:rsid w:val="0060499B"/>
    <w:rsid w:val="00620A59"/>
    <w:rsid w:val="0063344F"/>
    <w:rsid w:val="00645C42"/>
    <w:rsid w:val="00661D2B"/>
    <w:rsid w:val="00681531"/>
    <w:rsid w:val="006B3687"/>
    <w:rsid w:val="006C1342"/>
    <w:rsid w:val="006C60F9"/>
    <w:rsid w:val="006E43F6"/>
    <w:rsid w:val="007726F1"/>
    <w:rsid w:val="00790E35"/>
    <w:rsid w:val="00796611"/>
    <w:rsid w:val="007D148E"/>
    <w:rsid w:val="007E1391"/>
    <w:rsid w:val="007F4B94"/>
    <w:rsid w:val="008427A2"/>
    <w:rsid w:val="008A7BE5"/>
    <w:rsid w:val="00915A4F"/>
    <w:rsid w:val="00A373D2"/>
    <w:rsid w:val="00A421D3"/>
    <w:rsid w:val="00A6115E"/>
    <w:rsid w:val="00AB51A9"/>
    <w:rsid w:val="00B21289"/>
    <w:rsid w:val="00B23B3B"/>
    <w:rsid w:val="00B36D30"/>
    <w:rsid w:val="00BB679A"/>
    <w:rsid w:val="00BC6B87"/>
    <w:rsid w:val="00BE2FF7"/>
    <w:rsid w:val="00C30D08"/>
    <w:rsid w:val="00C64284"/>
    <w:rsid w:val="00CF2091"/>
    <w:rsid w:val="00D33373"/>
    <w:rsid w:val="00D40801"/>
    <w:rsid w:val="00D8025B"/>
    <w:rsid w:val="00E52C60"/>
    <w:rsid w:val="00E57FCE"/>
    <w:rsid w:val="00EA5F63"/>
    <w:rsid w:val="00EB7F9B"/>
    <w:rsid w:val="00EF70E6"/>
    <w:rsid w:val="00F03CB2"/>
    <w:rsid w:val="00F37E74"/>
    <w:rsid w:val="00F57E5B"/>
    <w:rsid w:val="00F77AA5"/>
    <w:rsid w:val="00F9080B"/>
    <w:rsid w:val="00F962C1"/>
    <w:rsid w:val="00FB220C"/>
    <w:rsid w:val="00FB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E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2FF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2FF7"/>
    <w:rPr>
      <w:sz w:val="18"/>
      <w:szCs w:val="18"/>
    </w:rPr>
  </w:style>
  <w:style w:type="table" w:styleId="a7">
    <w:name w:val="Table Grid"/>
    <w:basedOn w:val="a1"/>
    <w:uiPriority w:val="59"/>
    <w:rsid w:val="00FB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E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2FF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2FF7"/>
    <w:rPr>
      <w:sz w:val="18"/>
      <w:szCs w:val="18"/>
    </w:rPr>
  </w:style>
  <w:style w:type="table" w:styleId="a7">
    <w:name w:val="Table Grid"/>
    <w:basedOn w:val="a1"/>
    <w:uiPriority w:val="59"/>
    <w:rsid w:val="00FB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Sun</cp:lastModifiedBy>
  <cp:revision>5</cp:revision>
  <dcterms:created xsi:type="dcterms:W3CDTF">2024-05-20T02:39:00Z</dcterms:created>
  <dcterms:modified xsi:type="dcterms:W3CDTF">2024-05-20T03:02:00Z</dcterms:modified>
</cp:coreProperties>
</file>